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b/>
          <w:b/>
          <w:bCs/>
          <w:sz w:val="28"/>
          <w:szCs w:val="28"/>
        </w:rPr>
      </w:pPr>
      <w:r>
        <w:rPr>
          <w:b/>
          <w:bCs/>
          <w:sz w:val="28"/>
          <w:szCs w:val="28"/>
        </w:rPr>
        <w:t>АДМИНИСТРАЦИЯ</w:t>
      </w:r>
    </w:p>
    <w:p>
      <w:pPr>
        <w:pStyle w:val="Normal"/>
        <w:spacing w:before="0" w:after="0"/>
        <w:contextualSpacing/>
        <w:jc w:val="center"/>
        <w:rPr/>
      </w:pPr>
      <w:r>
        <w:rPr>
          <w:b/>
          <w:bCs/>
          <w:sz w:val="28"/>
          <w:szCs w:val="28"/>
        </w:rPr>
        <w:t xml:space="preserve">НИКОЛАЕВСКОГО  МУНИЦИПАЛЬНОГО ОБРАЗОВАНИЯ </w:t>
      </w:r>
      <w:r>
        <w:rPr>
          <w:b/>
          <w:bCs/>
          <w:spacing w:val="20"/>
          <w:sz w:val="28"/>
          <w:szCs w:val="28"/>
        </w:rPr>
        <w:t>ИВАНТЕЕВСКОГО МУНИЦИПАЛЬНОГО РАЙОНА САРАТОВСКОЙ ОБЛАСТИ</w:t>
      </w:r>
    </w:p>
    <w:p>
      <w:pPr>
        <w:pStyle w:val="Normal"/>
        <w:spacing w:before="0" w:after="0"/>
        <w:contextualSpacing/>
        <w:jc w:val="center"/>
        <w:rPr>
          <w:b/>
          <w:b/>
          <w:bCs/>
          <w:spacing w:val="20"/>
          <w:sz w:val="28"/>
          <w:szCs w:val="28"/>
        </w:rPr>
      </w:pPr>
      <w:r>
        <w:rPr>
          <w:b/>
          <w:bCs/>
          <w:spacing w:val="20"/>
          <w:sz w:val="28"/>
          <w:szCs w:val="28"/>
        </w:rPr>
      </w:r>
    </w:p>
    <w:p>
      <w:pPr>
        <w:pStyle w:val="Normal"/>
        <w:spacing w:before="0" w:after="0"/>
        <w:contextualSpacing/>
        <w:jc w:val="center"/>
        <w:rPr>
          <w:b/>
          <w:b/>
          <w:bCs/>
          <w:spacing w:val="20"/>
          <w:sz w:val="28"/>
          <w:szCs w:val="28"/>
        </w:rPr>
      </w:pPr>
      <w:r>
        <w:rPr>
          <w:b/>
          <w:bCs/>
          <w:spacing w:val="20"/>
          <w:sz w:val="28"/>
          <w:szCs w:val="28"/>
        </w:rPr>
        <w:t xml:space="preserve">ПОСТАНОВЛЕНИЕ </w:t>
      </w:r>
    </w:p>
    <w:p>
      <w:pPr>
        <w:pStyle w:val="Normal"/>
        <w:spacing w:before="0" w:after="0"/>
        <w:contextualSpacing/>
        <w:jc w:val="center"/>
        <w:rPr>
          <w:b/>
          <w:b/>
          <w:bCs/>
          <w:spacing w:val="20"/>
          <w:sz w:val="28"/>
          <w:szCs w:val="28"/>
        </w:rPr>
      </w:pPr>
      <w:r>
        <w:rPr>
          <w:b/>
          <w:bCs/>
          <w:spacing w:val="20"/>
          <w:sz w:val="28"/>
          <w:szCs w:val="28"/>
        </w:rPr>
      </w:r>
    </w:p>
    <w:p>
      <w:pPr>
        <w:pStyle w:val="Normal"/>
        <w:spacing w:before="0" w:after="0"/>
        <w:contextualSpacing/>
        <w:jc w:val="center"/>
        <w:rPr/>
      </w:pPr>
      <w:r>
        <w:rPr>
          <w:sz w:val="28"/>
          <w:szCs w:val="28"/>
        </w:rPr>
        <w:t xml:space="preserve">от  27.12.2019 года                          </w:t>
      </w:r>
      <w:r>
        <w:rPr>
          <w:b/>
          <w:bCs/>
          <w:spacing w:val="20"/>
          <w:sz w:val="28"/>
          <w:szCs w:val="28"/>
        </w:rPr>
        <w:t>№  4</w:t>
      </w:r>
      <w:r>
        <w:rPr>
          <w:b/>
          <w:bCs/>
          <w:spacing w:val="20"/>
          <w:sz w:val="28"/>
          <w:szCs w:val="28"/>
        </w:rPr>
        <w:t>2</w:t>
      </w:r>
      <w:r>
        <w:rPr>
          <w:sz w:val="28"/>
          <w:szCs w:val="28"/>
        </w:rPr>
        <w:t xml:space="preserve">                                    с. Николаевка</w:t>
      </w:r>
    </w:p>
    <w:p>
      <w:pPr>
        <w:pStyle w:val="Normal"/>
        <w:spacing w:before="0" w:after="0"/>
        <w:contextualSpacing/>
        <w:jc w:val="center"/>
        <w:rPr>
          <w:b/>
          <w:b/>
          <w:bCs/>
          <w:sz w:val="28"/>
          <w:szCs w:val="28"/>
        </w:rPr>
      </w:pPr>
      <w:r>
        <w:rPr>
          <w:b/>
          <w:bCs/>
          <w:sz w:val="28"/>
          <w:szCs w:val="28"/>
        </w:rPr>
      </w:r>
    </w:p>
    <w:p>
      <w:pPr>
        <w:pStyle w:val="Normal"/>
        <w:rPr>
          <w:b/>
          <w:b/>
          <w:bCs/>
          <w:sz w:val="28"/>
          <w:szCs w:val="28"/>
        </w:rPr>
      </w:pPr>
      <w:r>
        <w:rPr>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t xml:space="preserve">Об утверждении Порядка разработки среднесрочного </w:t>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t xml:space="preserve">финансового плана </w:t>
      </w:r>
      <w:r>
        <w:rPr>
          <w:rFonts w:cs="Times New Roman" w:ascii="Times New Roman" w:hAnsi="Times New Roman"/>
          <w:b/>
          <w:bCs/>
          <w:sz w:val="28"/>
          <w:szCs w:val="28"/>
        </w:rPr>
        <w:t>Никола</w:t>
      </w:r>
      <w:r>
        <w:rPr>
          <w:rFonts w:cs="Times New Roman" w:ascii="Times New Roman" w:hAnsi="Times New Roman"/>
          <w:b/>
          <w:bCs/>
          <w:sz w:val="28"/>
          <w:szCs w:val="28"/>
        </w:rPr>
        <w:t>евского муниципального</w:t>
      </w:r>
    </w:p>
    <w:p>
      <w:pPr>
        <w:pStyle w:val="Style19"/>
        <w:shd w:fill="FFFFFF" w:val="clear"/>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 xml:space="preserve">образования </w:t>
      </w:r>
    </w:p>
    <w:p>
      <w:pPr>
        <w:pStyle w:val="Style19"/>
        <w:shd w:fill="FFFFFF" w:val="clear"/>
        <w:rPr>
          <w:rFonts w:ascii="Times New Roman" w:hAnsi="Times New Roman" w:cs="Times New Roman"/>
          <w:b/>
          <w:b/>
          <w:bCs/>
          <w:sz w:val="24"/>
          <w:szCs w:val="24"/>
        </w:rPr>
      </w:pPr>
      <w:r>
        <w:rPr>
          <w:rFonts w:cs="Times New Roman" w:ascii="Times New Roman" w:hAnsi="Times New Roman"/>
          <w:b/>
          <w:bCs/>
          <w:sz w:val="24"/>
          <w:szCs w:val="24"/>
        </w:rPr>
      </w:r>
    </w:p>
    <w:p>
      <w:pPr>
        <w:pStyle w:val="ConsPlusTitle"/>
        <w:widowControl/>
        <w:shd w:fill="FFFFFF" w:val="clear"/>
        <w:ind w:firstLine="709"/>
        <w:jc w:val="both"/>
        <w:rPr/>
      </w:pPr>
      <w:r>
        <w:rPr>
          <w:rFonts w:cs="Times New Roman" w:ascii="Times New Roman" w:hAnsi="Times New Roman"/>
          <w:b w:val="false"/>
          <w:color w:val="000000"/>
          <w:sz w:val="28"/>
          <w:szCs w:val="28"/>
        </w:rPr>
        <w:t xml:space="preserve">В соответствии  с Федеральным Законом  от 03.12.2012  № 244 - 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w:t>
      </w:r>
      <w:r>
        <w:rPr>
          <w:rFonts w:cs="Times New Roman" w:ascii="Times New Roman" w:hAnsi="Times New Roman"/>
          <w:color w:val="000000"/>
          <w:sz w:val="28"/>
          <w:szCs w:val="28"/>
        </w:rPr>
        <w:t>ПОСТАНОВЛЯЮ:</w:t>
      </w:r>
    </w:p>
    <w:p>
      <w:pPr>
        <w:pStyle w:val="Normal"/>
        <w:shd w:fill="FFFFFF" w:val="clear"/>
        <w:ind w:firstLine="709"/>
        <w:jc w:val="both"/>
        <w:rPr>
          <w:rFonts w:ascii="Times New Roman" w:hAnsi="Times New Roman" w:cs="Times New Roman"/>
          <w:color w:val="000000"/>
          <w:sz w:val="28"/>
          <w:szCs w:val="28"/>
        </w:rPr>
      </w:pPr>
      <w:r>
        <w:rPr>
          <w:rFonts w:cs="Times New Roman"/>
          <w:color w:val="000000"/>
          <w:sz w:val="28"/>
          <w:szCs w:val="28"/>
        </w:rPr>
        <w:t>1. Утвердить:</w:t>
      </w:r>
    </w:p>
    <w:p>
      <w:pPr>
        <w:pStyle w:val="Normal"/>
        <w:shd w:fill="FFFFFF" w:val="clear"/>
        <w:jc w:val="both"/>
        <w:rPr/>
      </w:pPr>
      <w:r>
        <w:rPr>
          <w:rFonts w:eastAsia="Times New Roman" w:cs="Times New Roman"/>
          <w:color w:val="000000"/>
          <w:sz w:val="28"/>
          <w:szCs w:val="28"/>
        </w:rPr>
        <w:t xml:space="preserve">    </w:t>
      </w:r>
      <w:r>
        <w:rPr>
          <w:rFonts w:cs="Times New Roman"/>
          <w:color w:val="000000"/>
          <w:sz w:val="28"/>
          <w:szCs w:val="28"/>
        </w:rPr>
        <w:t xml:space="preserve">1.1.Порядок разработки среднесрочного финансового плана </w:t>
      </w:r>
      <w:r>
        <w:rPr>
          <w:rFonts w:cs="Times New Roman"/>
          <w:color w:val="000000"/>
          <w:sz w:val="28"/>
          <w:szCs w:val="28"/>
        </w:rPr>
        <w:t>Никола</w:t>
      </w:r>
      <w:r>
        <w:rPr>
          <w:rFonts w:cs="Times New Roman"/>
          <w:color w:val="000000"/>
          <w:sz w:val="28"/>
          <w:szCs w:val="28"/>
        </w:rPr>
        <w:t>евского муниципального образования на очередной финансовый год и плановый период согласно приложению №1;</w:t>
      </w:r>
    </w:p>
    <w:p>
      <w:pPr>
        <w:pStyle w:val="Normal"/>
        <w:shd w:fill="FFFFFF" w:val="clear"/>
        <w:jc w:val="both"/>
        <w:rPr/>
      </w:pPr>
      <w:r>
        <w:rPr>
          <w:rFonts w:eastAsia="Times New Roman" w:cs="Times New Roman"/>
          <w:bCs/>
          <w:color w:val="000000"/>
          <w:sz w:val="28"/>
          <w:szCs w:val="28"/>
        </w:rPr>
        <w:t xml:space="preserve"> </w:t>
      </w:r>
      <w:r>
        <w:rPr>
          <w:rFonts w:cs="Times New Roman"/>
          <w:bCs/>
          <w:color w:val="000000"/>
          <w:sz w:val="28"/>
          <w:szCs w:val="28"/>
        </w:rPr>
        <w:t xml:space="preserve">1.2.Методику формирования среднесрочного финансового плана </w:t>
      </w:r>
      <w:r>
        <w:rPr>
          <w:rFonts w:cs="Times New Roman"/>
          <w:bCs/>
          <w:color w:val="000000"/>
          <w:sz w:val="28"/>
          <w:szCs w:val="28"/>
        </w:rPr>
        <w:t>Никола</w:t>
      </w:r>
      <w:r>
        <w:rPr>
          <w:rFonts w:cs="Times New Roman"/>
          <w:bCs/>
          <w:color w:val="000000"/>
          <w:sz w:val="28"/>
          <w:szCs w:val="28"/>
        </w:rPr>
        <w:t xml:space="preserve">евского муниципального образования </w:t>
      </w:r>
      <w:r>
        <w:rPr>
          <w:rFonts w:cs="Times New Roman"/>
          <w:color w:val="000000"/>
          <w:sz w:val="28"/>
          <w:szCs w:val="28"/>
        </w:rPr>
        <w:t>согласно приложению  № 2.</w:t>
      </w:r>
    </w:p>
    <w:p>
      <w:pPr>
        <w:pStyle w:val="Normal"/>
        <w:shd w:fill="FFFFFF" w:val="clear"/>
        <w:jc w:val="both"/>
        <w:rPr/>
      </w:pPr>
      <w:r>
        <w:rPr>
          <w:rFonts w:eastAsia="Times New Roman" w:cs="Times New Roman"/>
          <w:color w:val="000000"/>
          <w:sz w:val="28"/>
          <w:szCs w:val="28"/>
        </w:rPr>
        <w:t xml:space="preserve"> </w:t>
      </w:r>
      <w:r>
        <w:rPr>
          <w:rFonts w:eastAsia="Times New Roman" w:cs="Times New Roman"/>
          <w:color w:val="000000"/>
          <w:sz w:val="28"/>
          <w:szCs w:val="28"/>
        </w:rPr>
        <w:t>1.3</w:t>
      </w:r>
      <w:r>
        <w:rPr>
          <w:rFonts w:cs="Times New Roman"/>
          <w:color w:val="000000"/>
          <w:sz w:val="28"/>
          <w:szCs w:val="28"/>
        </w:rPr>
        <w:t xml:space="preserve">. Форму среднесрочного финансового плана </w:t>
      </w:r>
      <w:r>
        <w:rPr>
          <w:rFonts w:cs="Times New Roman"/>
          <w:color w:val="000000"/>
          <w:sz w:val="28"/>
          <w:szCs w:val="28"/>
        </w:rPr>
        <w:t>Никола</w:t>
      </w:r>
      <w:r>
        <w:rPr>
          <w:rFonts w:cs="Times New Roman"/>
          <w:color w:val="000000"/>
          <w:sz w:val="28"/>
          <w:szCs w:val="28"/>
        </w:rPr>
        <w:t>евского муниципального образования, согласно приложению №3.</w:t>
      </w:r>
    </w:p>
    <w:p>
      <w:pPr>
        <w:pStyle w:val="Normal"/>
        <w:shd w:fill="FFFFFF" w:val="clear"/>
        <w:ind w:firstLine="709"/>
        <w:jc w:val="both"/>
        <w:rPr/>
      </w:pPr>
      <w:r>
        <w:rPr>
          <w:rFonts w:eastAsia="Times New Roman" w:cs="Times New Roman"/>
          <w:color w:val="000000"/>
          <w:sz w:val="28"/>
          <w:szCs w:val="28"/>
        </w:rPr>
        <w:t>2</w:t>
      </w:r>
      <w:r>
        <w:rPr>
          <w:rFonts w:cs="Times New Roman"/>
          <w:color w:val="000000"/>
          <w:sz w:val="28"/>
          <w:szCs w:val="28"/>
        </w:rPr>
        <w:t>. Постановлени</w:t>
      </w:r>
      <w:r>
        <w:rPr>
          <w:rFonts w:cs="Times New Roman"/>
          <w:color w:val="000000"/>
          <w:sz w:val="28"/>
          <w:szCs w:val="28"/>
        </w:rPr>
        <w:t>е</w:t>
      </w:r>
      <w:r>
        <w:rPr>
          <w:rFonts w:cs="Times New Roman"/>
          <w:color w:val="000000"/>
          <w:sz w:val="28"/>
          <w:szCs w:val="28"/>
        </w:rPr>
        <w:t xml:space="preserve"> № 2</w:t>
      </w:r>
      <w:r>
        <w:rPr>
          <w:rFonts w:cs="Times New Roman"/>
          <w:color w:val="000000"/>
          <w:sz w:val="28"/>
          <w:szCs w:val="28"/>
        </w:rPr>
        <w:t>7</w:t>
      </w:r>
      <w:r>
        <w:rPr>
          <w:rFonts w:cs="Times New Roman"/>
          <w:color w:val="000000"/>
          <w:sz w:val="28"/>
          <w:szCs w:val="28"/>
        </w:rPr>
        <w:t xml:space="preserve"> от 29.10.2014 года « О форме среднесрочного финансового плана </w:t>
      </w:r>
      <w:r>
        <w:rPr>
          <w:rFonts w:cs="Times New Roman"/>
          <w:color w:val="000000"/>
          <w:sz w:val="28"/>
          <w:szCs w:val="28"/>
        </w:rPr>
        <w:t>Никола</w:t>
      </w:r>
      <w:r>
        <w:rPr>
          <w:rFonts w:cs="Times New Roman"/>
          <w:color w:val="000000"/>
          <w:sz w:val="28"/>
          <w:szCs w:val="28"/>
        </w:rPr>
        <w:t>евского  муниципального образования», с учетом изменений от 20.03.2015 года №</w:t>
      </w:r>
      <w:r>
        <w:rPr>
          <w:rFonts w:cs="Times New Roman"/>
          <w:color w:val="000000"/>
          <w:sz w:val="28"/>
          <w:szCs w:val="28"/>
        </w:rPr>
        <w:t>8,</w:t>
      </w:r>
      <w:r>
        <w:rPr>
          <w:rFonts w:cs="Times New Roman"/>
          <w:color w:val="000000"/>
          <w:sz w:val="28"/>
          <w:szCs w:val="28"/>
        </w:rPr>
        <w:t xml:space="preserve"> считать утратившим силу.   </w:t>
      </w:r>
    </w:p>
    <w:p>
      <w:pPr>
        <w:pStyle w:val="Normal"/>
        <w:shd w:fill="FFFFFF" w:val="clear"/>
        <w:ind w:firstLine="709"/>
        <w:jc w:val="both"/>
        <w:rPr/>
      </w:pPr>
      <w:r>
        <w:rPr>
          <w:rFonts w:cs="Times New Roman"/>
          <w:color w:val="000000"/>
          <w:sz w:val="28"/>
          <w:szCs w:val="28"/>
          <w:shd w:fill="FFFFFF" w:val="clear"/>
        </w:rPr>
        <w:t>3</w:t>
      </w:r>
      <w:r>
        <w:rPr>
          <w:rFonts w:cs="Times New Roman"/>
          <w:color w:val="000000"/>
          <w:sz w:val="28"/>
          <w:szCs w:val="28"/>
          <w:shd w:fill="FFFFFF" w:val="clear"/>
        </w:rPr>
        <w:t xml:space="preserve">. </w:t>
      </w:r>
      <w:r>
        <w:rPr>
          <w:rFonts w:eastAsia="Tahoma" w:cs="Times New Roman"/>
          <w:color w:val="000000"/>
          <w:sz w:val="28"/>
          <w:szCs w:val="28"/>
          <w:shd w:fill="FFFFFF" w:val="clear"/>
        </w:rPr>
        <w:t xml:space="preserve">Настоящее постановление вступает в силу с момента </w:t>
      </w:r>
      <w:r>
        <w:rPr>
          <w:rFonts w:eastAsia="Tahoma" w:cs="Times New Roman"/>
          <w:color w:val="000000"/>
          <w:sz w:val="28"/>
          <w:szCs w:val="28"/>
          <w:shd w:fill="FFFFFF" w:val="clear"/>
          <w:lang w:val="en-US"/>
        </w:rPr>
        <w:t> </w:t>
      </w:r>
      <w:r>
        <w:rPr>
          <w:rFonts w:eastAsia="Tahoma" w:cs="Times New Roman"/>
          <w:color w:val="000000"/>
          <w:sz w:val="28"/>
          <w:szCs w:val="28"/>
          <w:shd w:fill="FFFFFF" w:val="clear"/>
        </w:rPr>
        <w:t>его</w:t>
      </w:r>
      <w:r>
        <w:rPr>
          <w:rFonts w:eastAsia="Tahoma" w:cs="Times New Roman"/>
          <w:color w:val="000000"/>
          <w:sz w:val="28"/>
          <w:szCs w:val="28"/>
          <w:shd w:fill="FFFFFF" w:val="clear"/>
          <w:lang w:val="en-US"/>
        </w:rPr>
        <w:t> </w:t>
      </w:r>
      <w:r>
        <w:rPr>
          <w:rFonts w:eastAsia="Tahoma" w:cs="Times New Roman"/>
          <w:color w:val="000000"/>
          <w:sz w:val="28"/>
          <w:szCs w:val="28"/>
          <w:shd w:fill="FFFFFF" w:val="clear"/>
        </w:rPr>
        <w:t xml:space="preserve"> подписания.</w:t>
      </w:r>
    </w:p>
    <w:p>
      <w:pPr>
        <w:pStyle w:val="Normal"/>
        <w:widowControl/>
        <w:shd w:fill="FFFFFF" w:val="clear"/>
        <w:autoSpaceDE w:val="false"/>
        <w:bidi w:val="0"/>
        <w:spacing w:lineRule="auto" w:line="240" w:before="100" w:after="100"/>
        <w:ind w:left="0" w:right="0" w:hanging="0"/>
        <w:jc w:val="both"/>
        <w:rPr/>
      </w:pPr>
      <w:r>
        <w:rPr>
          <w:rFonts w:eastAsia="Times New Roman" w:cs="Times New Roman"/>
          <w:b w:val="false"/>
          <w:bCs w:val="false"/>
          <w:color w:val="000000"/>
          <w:sz w:val="28"/>
          <w:szCs w:val="28"/>
          <w:shd w:fill="FFFFFF" w:val="clear"/>
        </w:rPr>
        <w:t xml:space="preserve">          </w:t>
      </w:r>
      <w:r>
        <w:rPr>
          <w:rFonts w:eastAsia="Times New Roman" w:cs="Times New Roman"/>
          <w:b w:val="false"/>
          <w:bCs w:val="false"/>
          <w:color w:val="000000"/>
          <w:sz w:val="28"/>
          <w:szCs w:val="28"/>
          <w:shd w:fill="FFFFFF" w:val="clear"/>
        </w:rPr>
        <w:t>4</w:t>
      </w:r>
      <w:r>
        <w:rPr>
          <w:rFonts w:eastAsia="Tahoma" w:cs="Times New Roman"/>
          <w:b w:val="false"/>
          <w:bCs w:val="false"/>
          <w:color w:val="000000"/>
          <w:sz w:val="28"/>
          <w:szCs w:val="28"/>
          <w:shd w:fill="FFFFFF" w:val="clear"/>
        </w:rPr>
        <w:t>.</w:t>
      </w:r>
      <w:r>
        <w:rPr>
          <w:rFonts w:eastAsia="Tahoma" w:cs="Times New Roman"/>
          <w:b w:val="false"/>
          <w:bCs w:val="false"/>
          <w:color w:val="000000"/>
          <w:sz w:val="28"/>
          <w:szCs w:val="28"/>
          <w:shd w:fill="FFFFFF" w:val="clear"/>
          <w:lang w:val="en-US"/>
        </w:rPr>
        <w:t> </w:t>
      </w:r>
      <w:r>
        <w:rPr>
          <w:rFonts w:eastAsia="Tahoma" w:cs="Times New Roman"/>
          <w:b w:val="false"/>
          <w:bCs w:val="false"/>
          <w:color w:val="000000"/>
          <w:sz w:val="28"/>
          <w:szCs w:val="28"/>
          <w:shd w:fill="FFFFFF" w:val="clear"/>
        </w:rPr>
        <w:t xml:space="preserve"> Контроль за выполнением  постановления оставляю за собой.</w:t>
      </w:r>
    </w:p>
    <w:p>
      <w:pPr>
        <w:pStyle w:val="ConsPlusNormal"/>
        <w:ind w:firstLine="540"/>
        <w:jc w:val="both"/>
        <w:rPr/>
      </w:pPr>
      <w:r>
        <w:rPr/>
      </w:r>
    </w:p>
    <w:p>
      <w:pPr>
        <w:pStyle w:val="S1"/>
        <w:spacing w:beforeAutospacing="0" w:before="0" w:afterAutospacing="0" w:after="0"/>
        <w:contextualSpacing/>
        <w:jc w:val="both"/>
        <w:rPr/>
      </w:pPr>
      <w:r>
        <w:rPr>
          <w:b/>
          <w:bCs/>
          <w:sz w:val="28"/>
          <w:szCs w:val="28"/>
        </w:rPr>
        <w:t xml:space="preserve"> </w:t>
      </w:r>
    </w:p>
    <w:p>
      <w:pPr>
        <w:pStyle w:val="S1"/>
        <w:spacing w:beforeAutospacing="0" w:before="0" w:afterAutospacing="0" w:after="0"/>
        <w:contextualSpacing/>
        <w:jc w:val="both"/>
        <w:rPr>
          <w:b/>
          <w:b/>
          <w:bCs/>
          <w:sz w:val="28"/>
          <w:szCs w:val="28"/>
        </w:rPr>
      </w:pPr>
      <w:r>
        <w:rPr/>
      </w:r>
    </w:p>
    <w:p>
      <w:pPr>
        <w:pStyle w:val="S1"/>
        <w:spacing w:beforeAutospacing="0" w:before="0" w:afterAutospacing="0" w:after="0"/>
        <w:contextualSpacing/>
        <w:jc w:val="both"/>
        <w:rPr>
          <w:b/>
          <w:b/>
          <w:bCs/>
          <w:sz w:val="28"/>
          <w:szCs w:val="28"/>
        </w:rPr>
      </w:pPr>
      <w:r>
        <w:rPr/>
      </w:r>
    </w:p>
    <w:p>
      <w:pPr>
        <w:pStyle w:val="S1"/>
        <w:spacing w:beforeAutospacing="0" w:before="0" w:afterAutospacing="0" w:after="0"/>
        <w:contextualSpacing/>
        <w:jc w:val="both"/>
        <w:rPr>
          <w:b/>
          <w:b/>
          <w:bCs/>
          <w:sz w:val="28"/>
          <w:szCs w:val="28"/>
        </w:rPr>
      </w:pPr>
      <w:r>
        <w:rPr/>
      </w:r>
    </w:p>
    <w:p>
      <w:pPr>
        <w:pStyle w:val="Normal"/>
        <w:spacing w:before="0" w:after="0"/>
        <w:contextualSpacing/>
        <w:rPr/>
      </w:pPr>
      <w:r>
        <w:rPr>
          <w:b/>
          <w:bCs/>
          <w:sz w:val="28"/>
          <w:szCs w:val="28"/>
        </w:rPr>
        <w:t>Глава Николаевского</w:t>
      </w:r>
    </w:p>
    <w:p>
      <w:pPr>
        <w:sectPr>
          <w:type w:val="nextPage"/>
          <w:pgSz w:w="11906" w:h="16838"/>
          <w:pgMar w:left="1701" w:right="850" w:header="0" w:top="1134" w:footer="0" w:bottom="1134" w:gutter="0"/>
          <w:pgNumType w:fmt="decimal"/>
          <w:formProt w:val="false"/>
          <w:textDirection w:val="lrTb"/>
          <w:docGrid w:type="default" w:linePitch="360" w:charSpace="0"/>
        </w:sectPr>
        <w:pStyle w:val="S3"/>
        <w:spacing w:beforeAutospacing="0" w:before="0" w:afterAutospacing="0" w:after="0"/>
        <w:rPr/>
      </w:pPr>
      <w:r>
        <w:rPr>
          <w:b/>
          <w:bCs/>
          <w:sz w:val="28"/>
          <w:szCs w:val="28"/>
        </w:rPr>
        <w:t>муниципального образования</w:t>
        <w:tab/>
        <w:tab/>
        <w:tab/>
        <w:tab/>
        <w:tab/>
      </w:r>
      <w:r>
        <w:rPr>
          <w:b/>
          <w:bCs/>
          <w:sz w:val="28"/>
          <w:szCs w:val="28"/>
          <w:lang w:eastAsia="ar-SA"/>
        </w:rPr>
        <w:t>А.А. Демидов</w:t>
      </w:r>
    </w:p>
    <w:p>
      <w:pPr>
        <w:pStyle w:val="Normal"/>
        <w:keepLines/>
        <w:widowControl/>
        <w:overflowPunct w:val="false"/>
        <w:bidi w:val="0"/>
        <w:ind w:left="4195" w:right="0" w:hanging="0"/>
        <w:jc w:val="right"/>
        <w:textAlignment w:val="baseline"/>
        <w:rPr>
          <w:sz w:val="24"/>
          <w:szCs w:val="24"/>
        </w:rPr>
      </w:pPr>
      <w:bookmarkStart w:id="0" w:name="__DdeLink__3412_2162558398"/>
      <w:r>
        <w:rPr>
          <w:sz w:val="24"/>
          <w:szCs w:val="24"/>
        </w:rPr>
        <w:t xml:space="preserve">Приложение </w:t>
      </w:r>
      <w:r>
        <w:rPr>
          <w:color w:val="000000"/>
          <w:sz w:val="24"/>
          <w:szCs w:val="24"/>
        </w:rPr>
        <w:t xml:space="preserve">1 к постановлению администрации </w:t>
      </w:r>
    </w:p>
    <w:p>
      <w:pPr>
        <w:pStyle w:val="Normal"/>
        <w:widowControl/>
        <w:overflowPunct w:val="false"/>
        <w:bidi w:val="0"/>
        <w:ind w:left="4479" w:right="0" w:hanging="0"/>
        <w:jc w:val="right"/>
        <w:textAlignment w:val="baseline"/>
        <w:rPr>
          <w:sz w:val="24"/>
          <w:szCs w:val="24"/>
        </w:rPr>
      </w:pPr>
      <w:r>
        <w:rPr>
          <w:color w:val="000000"/>
          <w:sz w:val="24"/>
          <w:szCs w:val="24"/>
        </w:rPr>
        <w:t>Николаевского муниципального образования</w:t>
      </w:r>
      <w:r>
        <w:rPr>
          <w:sz w:val="24"/>
          <w:szCs w:val="24"/>
        </w:rPr>
        <w:t xml:space="preserve"> Ивантеевского муниципального района Саратовской области </w:t>
      </w:r>
    </w:p>
    <w:p>
      <w:pPr>
        <w:pStyle w:val="Normal"/>
        <w:widowControl/>
        <w:overflowPunct w:val="false"/>
        <w:bidi w:val="0"/>
        <w:ind w:left="4479" w:right="0" w:hanging="0"/>
        <w:jc w:val="right"/>
        <w:textAlignment w:val="baseline"/>
        <w:rPr/>
      </w:pPr>
      <w:r>
        <w:rPr>
          <w:sz w:val="24"/>
          <w:szCs w:val="24"/>
        </w:rPr>
        <w:t>от 27.12.2019 № 4</w:t>
      </w:r>
      <w:bookmarkEnd w:id="0"/>
      <w:r>
        <w:rPr>
          <w:sz w:val="24"/>
          <w:szCs w:val="24"/>
        </w:rPr>
        <w:t>2</w:t>
      </w:r>
    </w:p>
    <w:p>
      <w:pPr>
        <w:pStyle w:val="Style19"/>
        <w:shd w:fill="FFFFFF" w:val="clear"/>
        <w:jc w:val="right"/>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Style19"/>
        <w:shd w:fill="FFFFFF" w:val="clear"/>
        <w:jc w:val="center"/>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t xml:space="preserve">Порядок </w:t>
      </w:r>
    </w:p>
    <w:p>
      <w:pPr>
        <w:pStyle w:val="Style19"/>
        <w:shd w:fill="FFFFFF" w:val="clear"/>
        <w:jc w:val="center"/>
        <w:rPr>
          <w:rFonts w:ascii="Times New Roman" w:hAnsi="Times New Roman" w:cs="Times New Roman"/>
          <w:b/>
          <w:b/>
          <w:bCs/>
          <w:sz w:val="28"/>
          <w:szCs w:val="28"/>
          <w:highlight w:val="white"/>
        </w:rPr>
      </w:pPr>
      <w:r>
        <w:rPr>
          <w:rFonts w:cs="Times New Roman" w:ascii="Times New Roman" w:hAnsi="Times New Roman"/>
          <w:b/>
          <w:bCs/>
          <w:sz w:val="28"/>
          <w:szCs w:val="28"/>
          <w:shd w:fill="FFFFFF" w:val="clear"/>
        </w:rPr>
        <w:t>разработки среднесрочного финансового плана</w:t>
      </w:r>
    </w:p>
    <w:p>
      <w:pPr>
        <w:pStyle w:val="Style19"/>
        <w:shd w:fill="FFFFFF" w:val="clear"/>
        <w:jc w:val="center"/>
        <w:rPr/>
      </w:pPr>
      <w:r>
        <w:rPr>
          <w:rFonts w:eastAsia="Times New Roman" w:cs="Times New Roman" w:ascii="Times New Roman" w:hAnsi="Times New Roman"/>
          <w:b/>
          <w:bCs/>
          <w:sz w:val="28"/>
          <w:szCs w:val="28"/>
          <w:highlight w:val="white"/>
        </w:rPr>
        <w:t xml:space="preserve"> </w:t>
      </w:r>
      <w:r>
        <w:rPr>
          <w:rFonts w:eastAsia="Times New Roman" w:cs="Times New Roman" w:ascii="Times New Roman" w:hAnsi="Times New Roman"/>
          <w:b/>
          <w:bCs/>
          <w:color w:val="000000"/>
          <w:sz w:val="28"/>
          <w:szCs w:val="28"/>
          <w:highlight w:val="white"/>
        </w:rPr>
        <w:t>Никола</w:t>
      </w:r>
      <w:r>
        <w:rPr>
          <w:rFonts w:eastAsia="Times New Roman" w:cs="Times New Roman" w:ascii="Times New Roman" w:hAnsi="Times New Roman"/>
          <w:b/>
          <w:bCs/>
          <w:color w:val="000000"/>
          <w:sz w:val="28"/>
          <w:szCs w:val="28"/>
          <w:highlight w:val="white"/>
        </w:rPr>
        <w:t>евского</w:t>
      </w:r>
      <w:r>
        <w:rPr>
          <w:rFonts w:cs="Times New Roman" w:ascii="Times New Roman" w:hAnsi="Times New Roman"/>
          <w:b/>
          <w:bCs/>
          <w:sz w:val="28"/>
          <w:szCs w:val="28"/>
          <w:highlight w:val="white"/>
        </w:rPr>
        <w:t xml:space="preserve"> муниципального образования </w:t>
      </w:r>
    </w:p>
    <w:p>
      <w:pPr>
        <w:pStyle w:val="Style19"/>
        <w:shd w:fill="FFFFFF" w:val="clear"/>
        <w:jc w:val="center"/>
        <w:rPr>
          <w:rFonts w:ascii="Times New Roman" w:hAnsi="Times New Roman" w:cs="Times New Roman"/>
          <w:b/>
          <w:b/>
          <w:bCs/>
          <w:sz w:val="28"/>
          <w:szCs w:val="28"/>
          <w:highlight w:val="white"/>
        </w:rPr>
      </w:pPr>
      <w:r>
        <w:rPr>
          <w:rFonts w:cs="Times New Roman" w:ascii="Times New Roman" w:hAnsi="Times New Roman"/>
          <w:b/>
          <w:bCs/>
          <w:sz w:val="28"/>
          <w:szCs w:val="28"/>
          <w:highlight w:val="white"/>
        </w:rPr>
        <w:t>Ивантеевского муницип</w:t>
      </w:r>
      <w:r>
        <w:rPr>
          <w:rFonts w:cs="Times New Roman" w:ascii="Times New Roman" w:hAnsi="Times New Roman"/>
          <w:b/>
          <w:bCs/>
          <w:sz w:val="28"/>
          <w:szCs w:val="28"/>
          <w:highlight w:val="white"/>
        </w:rPr>
        <w:t>а</w:t>
      </w:r>
      <w:r>
        <w:rPr>
          <w:rFonts w:cs="Times New Roman" w:ascii="Times New Roman" w:hAnsi="Times New Roman"/>
          <w:b/>
          <w:bCs/>
          <w:sz w:val="28"/>
          <w:szCs w:val="28"/>
          <w:highlight w:val="white"/>
        </w:rPr>
        <w:t>льного района Саратовской области</w:t>
      </w:r>
    </w:p>
    <w:p>
      <w:pPr>
        <w:pStyle w:val="Normal"/>
        <w:shd w:fill="FFFFFF" w:val="clear"/>
        <w:jc w:val="center"/>
        <w:rPr>
          <w:rFonts w:ascii="Times New Roman" w:hAnsi="Times New Roman" w:cs="Times New Roman"/>
          <w:b/>
          <w:b/>
          <w:bCs/>
          <w:sz w:val="28"/>
          <w:szCs w:val="28"/>
          <w:highlight w:val="white"/>
        </w:rPr>
      </w:pPr>
      <w:r>
        <w:rPr>
          <w:rFonts w:cs="Times New Roman"/>
          <w:b/>
          <w:bCs/>
          <w:sz w:val="28"/>
          <w:szCs w:val="28"/>
          <w:shd w:fill="FFFFFF" w:val="clear"/>
        </w:rPr>
      </w:r>
    </w:p>
    <w:p>
      <w:pPr>
        <w:pStyle w:val="Normal"/>
        <w:shd w:fill="FFFFFF" w:val="clear"/>
        <w:jc w:val="center"/>
        <w:rPr>
          <w:rFonts w:ascii="Times New Roman" w:hAnsi="Times New Roman" w:cs="Times New Roman"/>
          <w:b/>
          <w:b/>
          <w:sz w:val="28"/>
          <w:szCs w:val="28"/>
          <w:highlight w:val="white"/>
        </w:rPr>
      </w:pPr>
      <w:r>
        <w:rPr>
          <w:rFonts w:cs="Times New Roman"/>
          <w:b/>
          <w:sz w:val="28"/>
          <w:szCs w:val="28"/>
          <w:highlight w:val="white"/>
        </w:rPr>
        <w:t>1. Общие положения</w:t>
      </w:r>
    </w:p>
    <w:p>
      <w:pPr>
        <w:pStyle w:val="Normal"/>
        <w:shd w:fill="FFFFFF" w:val="clear"/>
        <w:jc w:val="center"/>
        <w:rPr>
          <w:rFonts w:ascii="Times New Roman" w:hAnsi="Times New Roman" w:cs="Times New Roman"/>
          <w:b/>
          <w:b/>
          <w:sz w:val="28"/>
          <w:szCs w:val="28"/>
          <w:highlight w:val="white"/>
        </w:rPr>
      </w:pPr>
      <w:r>
        <w:rPr>
          <w:rFonts w:cs="Times New Roman"/>
          <w:b/>
          <w:sz w:val="28"/>
          <w:szCs w:val="28"/>
          <w:shd w:fill="FFFFFF" w:val="clear"/>
        </w:rPr>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highlight w:val="white"/>
        </w:rPr>
        <w:t xml:space="preserve">1.1. Настоящий Порядок регламентирует разработку среднесрочного финансового плана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(далее – </w:t>
      </w:r>
      <w:r>
        <w:rPr>
          <w:rFonts w:cs="Times New Roman"/>
          <w:color w:val="000000"/>
          <w:sz w:val="28"/>
          <w:szCs w:val="28"/>
          <w:highlight w:val="white"/>
        </w:rPr>
        <w:t>Никола</w:t>
      </w:r>
      <w:r>
        <w:rPr>
          <w:rFonts w:cs="Times New Roman"/>
          <w:color w:val="000000"/>
          <w:sz w:val="28"/>
          <w:szCs w:val="28"/>
          <w:highlight w:val="white"/>
        </w:rPr>
        <w:t>евско</w:t>
      </w:r>
      <w:r>
        <w:rPr>
          <w:rFonts w:cs="Times New Roman"/>
          <w:color w:val="000000"/>
          <w:sz w:val="28"/>
          <w:szCs w:val="28"/>
          <w:highlight w:val="white"/>
        </w:rPr>
        <w:t>е</w:t>
      </w:r>
      <w:r>
        <w:rPr>
          <w:rFonts w:cs="Times New Roman"/>
          <w:sz w:val="28"/>
          <w:szCs w:val="28"/>
          <w:highlight w:val="white"/>
        </w:rPr>
        <w:t xml:space="preserve"> муниципальное образование).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pPr>
        <w:pStyle w:val="Normal"/>
        <w:shd w:fill="FFFFFF" w:val="clear"/>
        <w:ind w:firstLine="709"/>
        <w:jc w:val="both"/>
        <w:rPr/>
      </w:pPr>
      <w:r>
        <w:rPr>
          <w:rFonts w:cs="Times New Roman"/>
          <w:sz w:val="28"/>
          <w:szCs w:val="28"/>
          <w:shd w:fill="FFFFFF" w:val="clear"/>
        </w:rPr>
        <w:t xml:space="preserve">1.2. Среднесрочный финансовый план - документ, содержащий параметры (основные показатели) бюджета </w:t>
      </w:r>
      <w:r>
        <w:rPr>
          <w:rFonts w:cs="Times New Roman"/>
          <w:color w:val="000000"/>
          <w:sz w:val="28"/>
          <w:szCs w:val="28"/>
          <w:shd w:fill="FFFFFF" w:val="clear"/>
        </w:rPr>
        <w:t>Никола</w:t>
      </w:r>
      <w:r>
        <w:rPr>
          <w:rFonts w:cs="Times New Roman"/>
          <w:color w:val="000000"/>
          <w:sz w:val="28"/>
          <w:szCs w:val="28"/>
          <w:shd w:fill="FFFFFF" w:val="clear"/>
        </w:rPr>
        <w:t>евского</w:t>
      </w:r>
      <w:r>
        <w:rPr>
          <w:rFonts w:cs="Times New Roman"/>
          <w:sz w:val="28"/>
          <w:szCs w:val="28"/>
          <w:shd w:fill="FFFFFF" w:val="clear"/>
        </w:rPr>
        <w:t xml:space="preserve"> муниципального образования, формируемый одновременно с проектом бюджета муниципальное образование  на очередной финансовый год, на основе прогноза социально-экономического развития </w:t>
      </w:r>
      <w:r>
        <w:rPr>
          <w:rFonts w:cs="Times New Roman"/>
          <w:color w:val="000000"/>
          <w:sz w:val="28"/>
          <w:szCs w:val="28"/>
          <w:shd w:fill="FFFFFF" w:val="clear"/>
        </w:rPr>
        <w:t>Никола</w:t>
      </w:r>
      <w:r>
        <w:rPr>
          <w:rFonts w:cs="Times New Roman"/>
          <w:color w:val="000000"/>
          <w:sz w:val="28"/>
          <w:szCs w:val="28"/>
          <w:shd w:fill="FFFFFF" w:val="clear"/>
        </w:rPr>
        <w:t>евского</w:t>
      </w:r>
      <w:r>
        <w:rPr>
          <w:rFonts w:cs="Times New Roman"/>
          <w:sz w:val="28"/>
          <w:szCs w:val="28"/>
          <w:shd w:fill="FFFFFF" w:val="clear"/>
        </w:rPr>
        <w:t xml:space="preserve">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w:t>
      </w:r>
      <w:r>
        <w:rPr>
          <w:rFonts w:cs="Times New Roman"/>
          <w:color w:val="000000"/>
          <w:sz w:val="28"/>
          <w:szCs w:val="28"/>
          <w:shd w:fill="FFFFFF" w:val="clear"/>
        </w:rPr>
        <w:t>Никола</w:t>
      </w:r>
      <w:r>
        <w:rPr>
          <w:rFonts w:cs="Times New Roman"/>
          <w:color w:val="000000"/>
          <w:sz w:val="28"/>
          <w:szCs w:val="28"/>
          <w:shd w:fill="FFFFFF" w:val="clear"/>
        </w:rPr>
        <w:t>евского</w:t>
      </w:r>
      <w:r>
        <w:rPr>
          <w:rFonts w:cs="Times New Roman"/>
          <w:sz w:val="28"/>
          <w:szCs w:val="28"/>
          <w:shd w:fill="FFFFFF" w:val="clear"/>
        </w:rPr>
        <w:t xml:space="preserve"> муниципального образования.</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1.3. Среднесрочный финансовый план разрабатывается в целях:</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highlight w:val="white"/>
        </w:rPr>
        <w:t xml:space="preserve">- информирования Совета депутатов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о финансовом отражении среднесрочных тенденций развития экономики и социальной сферы;</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 комплексного прогнозирования финансовых последствий разрабатываемых и реализуемых реформ, программ, решений;</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 выявления необходимости и возможности осуществления в перспективе мер в области финансовой политики;</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 отслеживания долгосрочных негативных тенденций и своевременного принятия, соответствующих мер.</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1.4.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1.5. Понятия, используемые в настоящем Порядке:</w:t>
      </w:r>
    </w:p>
    <w:p>
      <w:pPr>
        <w:pStyle w:val="Normal"/>
        <w:shd w:fill="FFFFFF" w:val="clear"/>
        <w:autoSpaceDE w:val="false"/>
        <w:ind w:firstLine="709"/>
        <w:jc w:val="both"/>
        <w:rPr>
          <w:rFonts w:ascii="Times New Roman" w:hAnsi="Times New Roman" w:cs="Times New Roman"/>
          <w:sz w:val="28"/>
          <w:szCs w:val="28"/>
          <w:highlight w:val="white"/>
        </w:rPr>
      </w:pPr>
      <w:r>
        <w:rPr>
          <w:rFonts w:cs="Times New Roman"/>
          <w:sz w:val="28"/>
          <w:szCs w:val="28"/>
          <w:highlight w:val="white"/>
        </w:rPr>
        <w:t xml:space="preserve">- текущий финансовый год - год, в котором осуществляется исполнение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составление и рассмотрение проекта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на очередной финансовый год в соответствии с настоящим Порядком; </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 очередной финансовый год - год, следующий за текущим финансовым годом;</w:t>
      </w:r>
    </w:p>
    <w:p>
      <w:pPr>
        <w:pStyle w:val="Normal"/>
        <w:shd w:fill="FFFFFF" w:val="clear"/>
        <w:tabs>
          <w:tab w:val="left" w:pos="0" w:leader="none"/>
        </w:tabs>
        <w:ind w:firstLine="709"/>
        <w:jc w:val="both"/>
        <w:rPr>
          <w:rFonts w:ascii="Times New Roman" w:hAnsi="Times New Roman" w:cs="Times New Roman"/>
          <w:sz w:val="28"/>
          <w:szCs w:val="28"/>
          <w:highlight w:val="white"/>
        </w:rPr>
      </w:pPr>
      <w:r>
        <w:rPr>
          <w:rFonts w:cs="Times New Roman"/>
          <w:sz w:val="28"/>
          <w:szCs w:val="28"/>
          <w:shd w:fill="FFFFFF" w:val="clear"/>
        </w:rPr>
        <w:t>- отчетный финансовый год - год, предшествующий текущему финансовому году;</w:t>
      </w:r>
    </w:p>
    <w:p>
      <w:pPr>
        <w:pStyle w:val="Normal"/>
        <w:shd w:fill="FFFFFF" w:val="clear"/>
        <w:autoSpaceDE w:val="false"/>
        <w:ind w:firstLine="709"/>
        <w:jc w:val="both"/>
        <w:rPr>
          <w:rFonts w:ascii="Times New Roman" w:hAnsi="Times New Roman" w:cs="Times New Roman"/>
          <w:sz w:val="28"/>
          <w:szCs w:val="28"/>
          <w:highlight w:val="white"/>
        </w:rPr>
      </w:pPr>
      <w:r>
        <w:rPr>
          <w:rFonts w:cs="Times New Roman"/>
          <w:sz w:val="28"/>
          <w:szCs w:val="28"/>
          <w:shd w:fill="FFFFFF" w:val="clear"/>
        </w:rPr>
        <w:t xml:space="preserve">- плановый период - два финансовых года, следующие за очередным финансовым; </w:t>
      </w:r>
    </w:p>
    <w:p>
      <w:pPr>
        <w:pStyle w:val="Normal"/>
        <w:shd w:fill="FFFFFF" w:val="clear"/>
        <w:autoSpaceDE w:val="false"/>
        <w:ind w:firstLine="709"/>
        <w:jc w:val="both"/>
        <w:rPr>
          <w:rFonts w:ascii="Times New Roman" w:hAnsi="Times New Roman" w:cs="Times New Roman"/>
          <w:sz w:val="28"/>
          <w:szCs w:val="28"/>
          <w:highlight w:val="white"/>
        </w:rPr>
      </w:pPr>
      <w:r>
        <w:rPr>
          <w:rFonts w:cs="Times New Roman"/>
          <w:sz w:val="28"/>
          <w:szCs w:val="28"/>
          <w:highlight w:val="white"/>
        </w:rPr>
        <w:t xml:space="preserve">- администраторы доходов бюджета – администрация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w:t>
      </w:r>
    </w:p>
    <w:p>
      <w:pPr>
        <w:pStyle w:val="Normal"/>
        <w:shd w:fill="FFFFFF" w:val="clear"/>
        <w:autoSpaceDE w:val="false"/>
        <w:ind w:firstLine="540"/>
        <w:jc w:val="both"/>
        <w:rPr>
          <w:rFonts w:ascii="Times New Roman" w:hAnsi="Times New Roman" w:cs="Times New Roman"/>
          <w:sz w:val="28"/>
          <w:szCs w:val="28"/>
          <w:highlight w:val="white"/>
        </w:rPr>
      </w:pPr>
      <w:r>
        <w:rPr>
          <w:rFonts w:cs="Times New Roman"/>
          <w:sz w:val="28"/>
          <w:szCs w:val="28"/>
          <w:highlight w:val="white"/>
        </w:rPr>
        <w:t xml:space="preserve">- муниципальная программа - документ, включающий комплекс взаимоувязанных программных мероприятий, направленных на решение задач, и обеспечивающих достижение одной из тактических целей социально-экономического развития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w:t>
      </w:r>
    </w:p>
    <w:p>
      <w:pPr>
        <w:pStyle w:val="Normal"/>
        <w:shd w:fill="FFFFFF" w:val="clear"/>
        <w:jc w:val="center"/>
        <w:rPr>
          <w:rFonts w:ascii="Times New Roman" w:hAnsi="Times New Roman" w:cs="Times New Roman"/>
          <w:b/>
          <w:b/>
          <w:sz w:val="28"/>
          <w:szCs w:val="28"/>
          <w:highlight w:val="white"/>
        </w:rPr>
      </w:pPr>
      <w:r>
        <w:rPr>
          <w:rFonts w:cs="Times New Roman"/>
          <w:b/>
          <w:sz w:val="28"/>
          <w:szCs w:val="28"/>
          <w:shd w:fill="FFFFFF" w:val="clear"/>
        </w:rPr>
        <w:t>2. Разработка среднесрочного финансового плана</w:t>
      </w:r>
    </w:p>
    <w:p>
      <w:pPr>
        <w:pStyle w:val="Normal"/>
        <w:shd w:fill="FFFFFF" w:val="clear"/>
        <w:jc w:val="center"/>
        <w:rPr>
          <w:rFonts w:ascii="Times New Roman" w:hAnsi="Times New Roman" w:cs="Times New Roman"/>
          <w:b/>
          <w:b/>
          <w:sz w:val="28"/>
          <w:szCs w:val="28"/>
          <w:highlight w:val="white"/>
        </w:rPr>
      </w:pPr>
      <w:r>
        <w:rPr>
          <w:rFonts w:cs="Times New Roman"/>
          <w:b/>
          <w:sz w:val="28"/>
          <w:szCs w:val="28"/>
          <w:shd w:fill="FFFFFF" w:val="clear"/>
        </w:rPr>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highlight w:val="white"/>
        </w:rPr>
        <w:t xml:space="preserve">2.1. Разработку проекта среднесрочного финансового плана осуществляет финансовое управление Ивантеевского района согласно решению о передаче полномочий в сроки, установленные для разработки проекта бюджета </w:t>
      </w:r>
      <w:r>
        <w:rPr>
          <w:rFonts w:cs="Times New Roman"/>
          <w:color w:val="000000"/>
          <w:sz w:val="28"/>
          <w:szCs w:val="28"/>
          <w:highlight w:val="white"/>
        </w:rPr>
        <w:t>Никола</w:t>
      </w:r>
      <w:r>
        <w:rPr>
          <w:rFonts w:cs="Times New Roman"/>
          <w:color w:val="000000"/>
          <w:sz w:val="28"/>
          <w:szCs w:val="28"/>
          <w:highlight w:val="white"/>
        </w:rPr>
        <w:t xml:space="preserve">евского </w:t>
      </w:r>
      <w:r>
        <w:rPr>
          <w:rFonts w:cs="Times New Roman"/>
          <w:sz w:val="28"/>
          <w:szCs w:val="28"/>
          <w:highlight w:val="white"/>
        </w:rPr>
        <w:t xml:space="preserve">муниципального образования на очередной финансовый год, по  форме среднесрочного финансового плана в соответствии с приложениями № 1, 2 к настоящему Порядку.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 Утвержденный среднесрочный  финансовый  план вместе с соответствующими документами ежегодно предоставлять в установленном порядке в Совет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не позднее 15 ноября.</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2.2. Исходной базой для формирования среднесрочного финансового плана является бюджет на текущий финансовый год.</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highlight w:val="white"/>
        </w:rPr>
        <w:t xml:space="preserve">Для расчета отдельных показателей среднесрочного финансового плана могут быть использованы данные отчета об исполнении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за отчетный финансовый год и ожидаемое исполнение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за текущий финансовый год.</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highlight w:val="white"/>
        </w:rPr>
        <w:t xml:space="preserve">2.3. Среднесрочный финансовый план утверждается Главой администрации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и представляется одновременно с проектом бюджета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 в Совет депутатов </w:t>
      </w:r>
      <w:r>
        <w:rPr>
          <w:rFonts w:cs="Times New Roman"/>
          <w:color w:val="000000"/>
          <w:sz w:val="28"/>
          <w:szCs w:val="28"/>
          <w:highlight w:val="white"/>
        </w:rPr>
        <w:t>Никола</w:t>
      </w:r>
      <w:r>
        <w:rPr>
          <w:rFonts w:cs="Times New Roman"/>
          <w:color w:val="000000"/>
          <w:sz w:val="28"/>
          <w:szCs w:val="28"/>
          <w:highlight w:val="white"/>
        </w:rPr>
        <w:t>евского</w:t>
      </w:r>
      <w:r>
        <w:rPr>
          <w:rFonts w:cs="Times New Roman"/>
          <w:sz w:val="28"/>
          <w:szCs w:val="28"/>
          <w:highlight w:val="white"/>
        </w:rPr>
        <w:t xml:space="preserve"> муниципального образования.</w:t>
      </w:r>
    </w:p>
    <w:p>
      <w:pPr>
        <w:pStyle w:val="Normal"/>
        <w:shd w:fill="FFFFFF" w:val="clear"/>
        <w:ind w:firstLine="709"/>
        <w:jc w:val="both"/>
        <w:rPr>
          <w:rFonts w:ascii="Times New Roman" w:hAnsi="Times New Roman" w:cs="Times New Roman"/>
          <w:sz w:val="28"/>
          <w:szCs w:val="28"/>
          <w:highlight w:val="white"/>
        </w:rPr>
      </w:pPr>
      <w:r>
        <w:rPr>
          <w:rFonts w:cs="Times New Roman"/>
          <w:sz w:val="28"/>
          <w:szCs w:val="28"/>
          <w:shd w:fill="FFFFFF" w:val="clear"/>
        </w:rPr>
        <w:t>2.4. Среднесрочный финансовый план ежегодно корректируется с учетом:</w:t>
      </w:r>
    </w:p>
    <w:p>
      <w:pPr>
        <w:pStyle w:val="Normal"/>
        <w:shd w:fill="FFFFFF" w:val="clear"/>
        <w:ind w:firstLine="709"/>
        <w:jc w:val="both"/>
        <w:rPr/>
      </w:pPr>
      <w:r>
        <w:rPr>
          <w:rFonts w:cs="Times New Roman"/>
          <w:sz w:val="28"/>
          <w:szCs w:val="28"/>
          <w:highlight w:val="white"/>
        </w:rPr>
        <w:t>- уточнения показател</w:t>
      </w:r>
      <w:r>
        <w:rPr>
          <w:rFonts w:cs="Times New Roman"/>
          <w:sz w:val="28"/>
          <w:szCs w:val="28"/>
        </w:rPr>
        <w:t xml:space="preserve">ей прогноза социально-экономического развития </w:t>
      </w:r>
      <w:r>
        <w:rPr>
          <w:rFonts w:cs="Times New Roman"/>
          <w:color w:val="000000"/>
          <w:sz w:val="28"/>
          <w:szCs w:val="28"/>
        </w:rPr>
        <w:t>Никола</w:t>
      </w:r>
      <w:r>
        <w:rPr>
          <w:rFonts w:cs="Times New Roman"/>
          <w:color w:val="000000"/>
          <w:sz w:val="28"/>
          <w:szCs w:val="28"/>
        </w:rPr>
        <w:t xml:space="preserve">евского </w:t>
      </w:r>
      <w:r>
        <w:rPr>
          <w:rFonts w:cs="Times New Roman"/>
          <w:sz w:val="28"/>
          <w:szCs w:val="28"/>
        </w:rPr>
        <w:t>муниципального образования;</w:t>
      </w:r>
    </w:p>
    <w:p>
      <w:pPr>
        <w:pStyle w:val="Normal"/>
        <w:shd w:fill="FFFFFF" w:val="clear"/>
        <w:ind w:firstLine="709"/>
        <w:jc w:val="both"/>
        <w:rPr>
          <w:rFonts w:ascii="Times New Roman" w:hAnsi="Times New Roman" w:cs="Times New Roman"/>
          <w:sz w:val="28"/>
          <w:szCs w:val="28"/>
        </w:rPr>
      </w:pPr>
      <w:r>
        <w:rPr>
          <w:rFonts w:cs="Times New Roman"/>
          <w:sz w:val="28"/>
          <w:szCs w:val="28"/>
        </w:rPr>
        <w:t xml:space="preserve">- изменений основных направлений бюджетной и налоговой политики </w:t>
      </w:r>
      <w:r>
        <w:rPr>
          <w:rFonts w:cs="Times New Roman"/>
          <w:color w:val="000000"/>
          <w:sz w:val="28"/>
          <w:szCs w:val="28"/>
        </w:rPr>
        <w:t>Никола</w:t>
      </w:r>
      <w:r>
        <w:rPr>
          <w:rFonts w:cs="Times New Roman"/>
          <w:color w:val="000000"/>
          <w:sz w:val="28"/>
          <w:szCs w:val="28"/>
        </w:rPr>
        <w:t>евского</w:t>
      </w:r>
      <w:r>
        <w:rPr>
          <w:rFonts w:cs="Times New Roman"/>
          <w:sz w:val="28"/>
          <w:szCs w:val="28"/>
        </w:rPr>
        <w:t xml:space="preserve"> муниципального образования;</w:t>
      </w:r>
    </w:p>
    <w:p>
      <w:pPr>
        <w:pStyle w:val="Normal"/>
        <w:shd w:fill="FFFFFF" w:val="clear"/>
        <w:ind w:firstLine="709"/>
        <w:jc w:val="both"/>
        <w:rPr>
          <w:rFonts w:ascii="Times New Roman" w:hAnsi="Times New Roman" w:cs="Times New Roman"/>
          <w:sz w:val="28"/>
          <w:szCs w:val="28"/>
        </w:rPr>
      </w:pPr>
      <w:r>
        <w:rPr>
          <w:rFonts w:cs="Times New Roman"/>
          <w:sz w:val="28"/>
          <w:szCs w:val="28"/>
        </w:rPr>
        <w:t>- изменений законодательства;</w:t>
      </w:r>
    </w:p>
    <w:p>
      <w:pPr>
        <w:pStyle w:val="Normal"/>
        <w:shd w:fill="FFFFFF" w:val="clear"/>
        <w:ind w:firstLine="709"/>
        <w:jc w:val="both"/>
        <w:rPr>
          <w:rFonts w:ascii="Times New Roman" w:hAnsi="Times New Roman" w:cs="Times New Roman"/>
          <w:sz w:val="28"/>
          <w:szCs w:val="28"/>
        </w:rPr>
      </w:pPr>
      <w:r>
        <w:rPr>
          <w:rFonts w:cs="Times New Roman"/>
          <w:sz w:val="28"/>
          <w:szCs w:val="28"/>
        </w:rPr>
        <w:t xml:space="preserve">- изменений прогнозного плана (программы) приватизации муниципального имущества </w:t>
      </w:r>
      <w:r>
        <w:rPr>
          <w:rFonts w:cs="Times New Roman"/>
          <w:color w:val="000000"/>
          <w:sz w:val="28"/>
          <w:szCs w:val="28"/>
        </w:rPr>
        <w:t>Никола</w:t>
      </w:r>
      <w:r>
        <w:rPr>
          <w:rFonts w:cs="Times New Roman"/>
          <w:color w:val="000000"/>
          <w:sz w:val="28"/>
          <w:szCs w:val="28"/>
        </w:rPr>
        <w:t>евского</w:t>
      </w:r>
      <w:r>
        <w:rPr>
          <w:rFonts w:cs="Times New Roman"/>
          <w:sz w:val="28"/>
          <w:szCs w:val="28"/>
        </w:rPr>
        <w:t xml:space="preserve"> муниципального образования;</w:t>
      </w:r>
    </w:p>
    <w:p>
      <w:pPr>
        <w:pStyle w:val="Normal"/>
        <w:shd w:fill="FFFFFF" w:val="clear"/>
        <w:ind w:firstLine="709"/>
        <w:jc w:val="both"/>
        <w:rPr>
          <w:rFonts w:ascii="Times New Roman" w:hAnsi="Times New Roman" w:cs="Times New Roman"/>
          <w:sz w:val="28"/>
          <w:szCs w:val="28"/>
        </w:rPr>
      </w:pPr>
      <w:r>
        <w:rPr>
          <w:rFonts w:cs="Times New Roman"/>
          <w:sz w:val="28"/>
          <w:szCs w:val="28"/>
        </w:rPr>
        <w:t xml:space="preserve">- изменений показателей по штату администрации </w:t>
      </w:r>
      <w:r>
        <w:rPr>
          <w:rFonts w:cs="Times New Roman"/>
          <w:color w:val="000000"/>
          <w:sz w:val="28"/>
          <w:szCs w:val="28"/>
        </w:rPr>
        <w:t>Никола</w:t>
      </w:r>
      <w:r>
        <w:rPr>
          <w:rFonts w:cs="Times New Roman"/>
          <w:color w:val="000000"/>
          <w:sz w:val="28"/>
          <w:szCs w:val="28"/>
        </w:rPr>
        <w:t>евского</w:t>
      </w:r>
      <w:r>
        <w:rPr>
          <w:rFonts w:cs="Times New Roman"/>
          <w:sz w:val="28"/>
          <w:szCs w:val="28"/>
        </w:rPr>
        <w:t xml:space="preserve"> муниципального образования;</w:t>
      </w:r>
    </w:p>
    <w:p>
      <w:pPr>
        <w:pStyle w:val="Normal"/>
        <w:shd w:fill="FFFFFF" w:val="clear"/>
        <w:ind w:firstLine="709"/>
        <w:jc w:val="both"/>
        <w:rPr>
          <w:rFonts w:ascii="Times New Roman" w:hAnsi="Times New Roman" w:cs="Times New Roman"/>
          <w:sz w:val="28"/>
          <w:szCs w:val="28"/>
        </w:rPr>
      </w:pPr>
      <w:r>
        <w:rPr>
          <w:rFonts w:cs="Times New Roman"/>
          <w:sz w:val="28"/>
          <w:szCs w:val="28"/>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pPr>
        <w:pStyle w:val="Normal"/>
        <w:shd w:fill="FFFFFF" w:val="clear"/>
        <w:ind w:firstLine="709"/>
        <w:jc w:val="both"/>
        <w:rPr>
          <w:rFonts w:ascii="Times New Roman" w:hAnsi="Times New Roman" w:cs="Times New Roman"/>
          <w:sz w:val="28"/>
          <w:szCs w:val="28"/>
        </w:rPr>
      </w:pPr>
      <w:r>
        <w:rPr>
          <w:rFonts w:cs="Times New Roman"/>
          <w:sz w:val="28"/>
          <w:szCs w:val="28"/>
        </w:rPr>
        <w:t>- изменений объемов межбюджетных трансфертов от других бюджетов бюджетной системы;</w:t>
      </w:r>
    </w:p>
    <w:p>
      <w:pPr>
        <w:pStyle w:val="Normal"/>
        <w:shd w:fill="FFFFFF" w:val="clear"/>
        <w:ind w:firstLine="709"/>
        <w:jc w:val="both"/>
        <w:rPr>
          <w:rFonts w:ascii="Times New Roman" w:hAnsi="Times New Roman" w:cs="Times New Roman"/>
          <w:sz w:val="28"/>
          <w:szCs w:val="28"/>
        </w:rPr>
      </w:pPr>
      <w:r>
        <w:rPr>
          <w:rFonts w:cs="Times New Roman"/>
          <w:sz w:val="28"/>
          <w:szCs w:val="28"/>
        </w:rPr>
        <w:t>- изменений процентных ставок по долговым обязательствам, наступающим в очередном финансовом году;</w:t>
      </w:r>
    </w:p>
    <w:p>
      <w:pPr>
        <w:pStyle w:val="Normal"/>
        <w:shd w:fill="FFFFFF" w:val="clear"/>
        <w:ind w:firstLine="709"/>
        <w:jc w:val="both"/>
        <w:rPr>
          <w:rFonts w:ascii="Times New Roman" w:hAnsi="Times New Roman" w:cs="Times New Roman"/>
          <w:sz w:val="28"/>
          <w:szCs w:val="28"/>
        </w:rPr>
      </w:pPr>
      <w:r>
        <w:rPr>
          <w:rFonts w:cs="Times New Roman"/>
          <w:sz w:val="28"/>
          <w:szCs w:val="28"/>
        </w:rPr>
        <w:t>- иных непредвиденных обстоятельств.</w:t>
      </w:r>
    </w:p>
    <w:p>
      <w:pPr>
        <w:pStyle w:val="Normal"/>
        <w:shd w:fill="FFFFFF" w:val="clear"/>
        <w:ind w:firstLine="709"/>
        <w:jc w:val="both"/>
        <w:rPr>
          <w:rFonts w:ascii="Times New Roman" w:hAnsi="Times New Roman" w:cs="Times New Roman"/>
          <w:sz w:val="28"/>
          <w:szCs w:val="28"/>
        </w:rPr>
      </w:pPr>
      <w:r>
        <w:rPr>
          <w:rFonts w:cs="Times New Roman"/>
          <w:sz w:val="28"/>
          <w:szCs w:val="28"/>
        </w:rPr>
        <w:t xml:space="preserve">2.5. Значения показателей среднесрочного финансового плана и основных показателей проекта бюджета </w:t>
      </w:r>
      <w:r>
        <w:rPr>
          <w:rFonts w:cs="Times New Roman"/>
          <w:color w:val="000000"/>
          <w:sz w:val="28"/>
          <w:szCs w:val="28"/>
        </w:rPr>
        <w:t>Никола</w:t>
      </w:r>
      <w:r>
        <w:rPr>
          <w:rFonts w:cs="Times New Roman"/>
          <w:color w:val="000000"/>
          <w:sz w:val="28"/>
          <w:szCs w:val="28"/>
        </w:rPr>
        <w:t>евского</w:t>
      </w:r>
      <w:r>
        <w:rPr>
          <w:rFonts w:cs="Times New Roman"/>
          <w:sz w:val="28"/>
          <w:szCs w:val="28"/>
        </w:rPr>
        <w:t xml:space="preserve"> муниципального образования должны соответствовать друг другу.</w:t>
      </w:r>
    </w:p>
    <w:p>
      <w:pPr>
        <w:pStyle w:val="Normal"/>
        <w:numPr>
          <w:ilvl w:val="1"/>
          <w:numId w:val="1"/>
        </w:numPr>
        <w:shd w:fill="FFFFFF" w:val="clear"/>
        <w:ind w:left="0" w:firstLine="709"/>
        <w:jc w:val="both"/>
        <w:rPr>
          <w:rFonts w:ascii="Times New Roman" w:hAnsi="Times New Roman" w:cs="Times New Roman"/>
          <w:sz w:val="28"/>
          <w:szCs w:val="28"/>
        </w:rPr>
      </w:pPr>
      <w:r>
        <w:rPr>
          <w:rFonts w:cs="Times New Roman"/>
          <w:sz w:val="28"/>
          <w:szCs w:val="28"/>
        </w:rPr>
        <w:t xml:space="preserve">Распорядители бюджетных средств представляют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w:t>
      </w:r>
      <w:r>
        <w:rPr>
          <w:rFonts w:cs="Times New Roman"/>
          <w:sz w:val="28"/>
          <w:szCs w:val="28"/>
        </w:rPr>
        <w:t>Никола</w:t>
      </w:r>
      <w:r>
        <w:rPr>
          <w:rFonts w:cs="Times New Roman"/>
          <w:sz w:val="28"/>
          <w:szCs w:val="28"/>
        </w:rPr>
        <w:t>евского муниципального образования на очередной финансовый год.</w:t>
      </w:r>
    </w:p>
    <w:p>
      <w:pPr>
        <w:pStyle w:val="Normal"/>
        <w:shd w:fill="FFFFFF" w:val="clear"/>
        <w:rPr>
          <w:rFonts w:ascii="Times New Roman" w:hAnsi="Times New Roman" w:cs="Times New Roman"/>
          <w:sz w:val="28"/>
          <w:szCs w:val="28"/>
        </w:rPr>
      </w:pPr>
      <w:r>
        <w:rPr>
          <w:rFonts w:cs="Times New Roman"/>
          <w:sz w:val="28"/>
          <w:szCs w:val="28"/>
        </w:rPr>
      </w:r>
    </w:p>
    <w:p>
      <w:pPr>
        <w:pStyle w:val="Normal"/>
        <w:shd w:fill="FFFFFF" w:val="clear"/>
        <w:rPr>
          <w:rFonts w:ascii="Times New Roman" w:hAnsi="Times New Roman" w:cs="Times New Roman"/>
          <w:sz w:val="28"/>
          <w:szCs w:val="28"/>
        </w:rPr>
      </w:pPr>
      <w:r>
        <w:rPr>
          <w:rFonts w:cs="Times New Roman"/>
          <w:sz w:val="28"/>
          <w:szCs w:val="28"/>
        </w:rPr>
      </w:r>
    </w:p>
    <w:p>
      <w:pPr>
        <w:pStyle w:val="Normal"/>
        <w:shd w:fill="FFFFFF" w:val="clear"/>
        <w:rPr>
          <w:rFonts w:ascii="Times New Roman" w:hAnsi="Times New Roman" w:cs="Times New Roman"/>
          <w:sz w:val="28"/>
          <w:szCs w:val="28"/>
        </w:rPr>
      </w:pPr>
      <w:r>
        <w:rPr>
          <w:rFonts w:cs="Times New Roman"/>
          <w:sz w:val="28"/>
          <w:szCs w:val="28"/>
        </w:rPr>
      </w:r>
    </w:p>
    <w:p>
      <w:pPr>
        <w:pStyle w:val="Style19"/>
        <w:shd w:fill="FFFFFF" w:val="clear"/>
        <w:jc w:val="right"/>
        <w:rPr>
          <w:rFonts w:ascii="Times New Roman" w:hAnsi="Times New Roman" w:cs="Times New Roman"/>
          <w:sz w:val="28"/>
          <w:szCs w:val="28"/>
        </w:rPr>
      </w:pPr>
      <w:r>
        <w:rPr>
          <w:rFonts w:cs="Times New Roman" w:ascii="Times New Roman" w:hAnsi="Times New Roman"/>
          <w:sz w:val="28"/>
          <w:szCs w:val="28"/>
        </w:rPr>
      </w:r>
    </w:p>
    <w:p>
      <w:pPr>
        <w:pStyle w:val="Style19"/>
        <w:shd w:fill="FFFFFF" w:val="clear"/>
        <w:jc w:val="right"/>
        <w:rPr>
          <w:rFonts w:ascii="Times New Roman" w:hAnsi="Times New Roman" w:cs="Times New Roman"/>
          <w:sz w:val="28"/>
          <w:szCs w:val="28"/>
        </w:rPr>
      </w:pPr>
      <w:r>
        <w:rPr>
          <w:rFonts w:cs="Times New Roman" w:ascii="Times New Roman" w:hAnsi="Times New Roman"/>
          <w:sz w:val="28"/>
          <w:szCs w:val="28"/>
        </w:rPr>
      </w:r>
    </w:p>
    <w:p>
      <w:pPr>
        <w:pStyle w:val="Style19"/>
        <w:shd w:fill="FFFFFF" w:val="clear"/>
        <w:jc w:val="right"/>
        <w:rPr>
          <w:rFonts w:ascii="Times New Roman" w:hAnsi="Times New Roman" w:cs="Times New Roman"/>
          <w:sz w:val="28"/>
          <w:szCs w:val="28"/>
        </w:rPr>
      </w:pPr>
      <w:r>
        <w:rPr>
          <w:rFonts w:cs="Times New Roman" w:ascii="Times New Roman" w:hAnsi="Times New Roman"/>
          <w:sz w:val="28"/>
          <w:szCs w:val="28"/>
        </w:rPr>
      </w:r>
    </w:p>
    <w:p>
      <w:pPr>
        <w:pStyle w:val="Style19"/>
        <w:shd w:fill="FFFFFF" w:val="clear"/>
        <w:jc w:val="right"/>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0"/>
        </w:sectPr>
        <w:pStyle w:val="Style19"/>
        <w:shd w:fill="FFFFFF" w:val="clear"/>
        <w:jc w:val="right"/>
        <w:rPr>
          <w:rFonts w:ascii="Times New Roman" w:hAnsi="Times New Roman" w:cs="Times New Roman"/>
          <w:sz w:val="28"/>
          <w:szCs w:val="28"/>
        </w:rPr>
      </w:pPr>
      <w:r>
        <w:rPr>
          <w:rFonts w:cs="Times New Roman" w:ascii="Times New Roman" w:hAnsi="Times New Roman"/>
          <w:sz w:val="28"/>
          <w:szCs w:val="28"/>
        </w:rPr>
      </w:r>
    </w:p>
    <w:p>
      <w:pPr>
        <w:pStyle w:val="Normal"/>
        <w:keepLines/>
        <w:widowControl/>
        <w:overflowPunct w:val="false"/>
        <w:bidi w:val="0"/>
        <w:ind w:left="4195" w:right="0" w:hanging="0"/>
        <w:jc w:val="right"/>
        <w:textAlignment w:val="baseline"/>
        <w:rPr/>
      </w:pPr>
      <w:r>
        <w:rPr>
          <w:sz w:val="24"/>
          <w:szCs w:val="24"/>
        </w:rPr>
        <w:t xml:space="preserve">Приложение </w:t>
      </w:r>
      <w:r>
        <w:rPr>
          <w:sz w:val="24"/>
          <w:szCs w:val="24"/>
        </w:rPr>
        <w:t>2</w:t>
      </w:r>
      <w:r>
        <w:rPr>
          <w:color w:val="000000"/>
          <w:sz w:val="24"/>
          <w:szCs w:val="24"/>
        </w:rPr>
        <w:t xml:space="preserve"> к постановлению администрации </w:t>
      </w:r>
    </w:p>
    <w:p>
      <w:pPr>
        <w:pStyle w:val="Normal"/>
        <w:widowControl/>
        <w:overflowPunct w:val="false"/>
        <w:bidi w:val="0"/>
        <w:ind w:left="4479" w:right="0" w:hanging="0"/>
        <w:jc w:val="right"/>
        <w:textAlignment w:val="baseline"/>
        <w:rPr/>
      </w:pPr>
      <w:r>
        <w:rPr>
          <w:color w:val="000000"/>
          <w:sz w:val="24"/>
          <w:szCs w:val="24"/>
        </w:rPr>
        <w:t>Николаевского муниципального образования</w:t>
      </w:r>
      <w:r>
        <w:rPr>
          <w:sz w:val="24"/>
          <w:szCs w:val="24"/>
        </w:rPr>
        <w:t xml:space="preserve"> Ивантеевского муниципального района Саратовской области </w:t>
      </w:r>
    </w:p>
    <w:p>
      <w:pPr>
        <w:pStyle w:val="Normal"/>
        <w:widowControl/>
        <w:shd w:fill="FFFFFF" w:val="clear"/>
        <w:overflowPunct w:val="false"/>
        <w:bidi w:val="0"/>
        <w:ind w:left="4479" w:right="0" w:hanging="0"/>
        <w:jc w:val="right"/>
        <w:textAlignment w:val="baseline"/>
        <w:rPr>
          <w:rFonts w:ascii="Times New Roman" w:hAnsi="Times New Roman" w:cs="Times New Roman"/>
          <w:sz w:val="28"/>
          <w:szCs w:val="28"/>
        </w:rPr>
      </w:pPr>
      <w:r>
        <w:rPr>
          <w:rFonts w:cs="Times New Roman"/>
          <w:sz w:val="24"/>
          <w:szCs w:val="24"/>
        </w:rPr>
        <w:t>от 27.12.2019 № 4</w:t>
      </w:r>
      <w:r>
        <w:rPr>
          <w:rFonts w:cs="Times New Roman"/>
          <w:sz w:val="24"/>
          <w:szCs w:val="24"/>
        </w:rPr>
        <w:t>2</w:t>
      </w:r>
    </w:p>
    <w:p>
      <w:pPr>
        <w:pStyle w:val="Style19"/>
        <w:shd w:fill="FFFFFF" w:val="clear"/>
        <w:jc w:val="right"/>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jc w:val="center"/>
        <w:rPr>
          <w:rFonts w:ascii="Times New Roman" w:hAnsi="Times New Roman" w:cs="Times New Roman"/>
          <w:b/>
          <w:b/>
          <w:bCs/>
          <w:sz w:val="28"/>
          <w:szCs w:val="28"/>
        </w:rPr>
      </w:pPr>
      <w:r>
        <w:rPr>
          <w:rFonts w:cs="Times New Roman"/>
          <w:b/>
          <w:bCs/>
          <w:sz w:val="28"/>
          <w:szCs w:val="28"/>
        </w:rPr>
        <w:t xml:space="preserve">Методика формирования среднесрочного финансового плана </w:t>
      </w:r>
      <w:r>
        <w:rPr>
          <w:rFonts w:cs="Times New Roman"/>
          <w:b/>
          <w:bCs/>
          <w:color w:val="000000"/>
          <w:sz w:val="28"/>
          <w:szCs w:val="28"/>
        </w:rPr>
        <w:t>Никола</w:t>
      </w:r>
      <w:r>
        <w:rPr>
          <w:rFonts w:cs="Times New Roman"/>
          <w:b/>
          <w:bCs/>
          <w:color w:val="000000"/>
          <w:sz w:val="28"/>
          <w:szCs w:val="28"/>
        </w:rPr>
        <w:t>евского</w:t>
      </w:r>
      <w:r>
        <w:rPr>
          <w:rFonts w:cs="Times New Roman"/>
          <w:b/>
          <w:bCs/>
          <w:sz w:val="28"/>
          <w:szCs w:val="28"/>
        </w:rPr>
        <w:t xml:space="preserve"> муниципального образования</w:t>
      </w:r>
    </w:p>
    <w:p>
      <w:pPr>
        <w:pStyle w:val="Normal"/>
        <w:shd w:fill="FFFFFF" w:val="clear"/>
        <w:ind w:firstLine="709"/>
        <w:rPr>
          <w:rFonts w:ascii="Times New Roman" w:hAnsi="Times New Roman" w:cs="Times New Roman"/>
          <w:sz w:val="28"/>
          <w:szCs w:val="28"/>
        </w:rPr>
      </w:pPr>
      <w:r>
        <w:rPr>
          <w:rFonts w:cs="Times New Roman"/>
          <w:sz w:val="28"/>
          <w:szCs w:val="28"/>
        </w:rPr>
        <w:t>1. Формирование доходов</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Прогнозирование налоговых доходов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(далее – муниципальное образование) осуществляется на основе прогнозирования налоговых доходов, собираемых на территории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с применением нормативов зачисления в бюджет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установленных Бюджетным кодексом Российской Федерации, Законом Саратовской области, решением Совета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на очередной финансовый год.</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pPr>
        <w:pStyle w:val="Style19"/>
        <w:ind w:firstLine="558"/>
        <w:jc w:val="both"/>
        <w:rPr/>
      </w:pPr>
      <w:r>
        <w:rPr>
          <w:rFonts w:cs="Times New Roman" w:ascii="Times New Roman" w:hAnsi="Times New Roman"/>
          <w:sz w:val="28"/>
          <w:szCs w:val="28"/>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Саратовской области по региональным налогам, решениями Совета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по местным налогам.</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При прогнозе доходов используются итоги социально-экономического развития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Формирование неналоговых доходов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определяется в соответствии с федеральным законодательством, постановлениями Правительства Российской Федерации, нормативными правовыми актами Саратовской области и муниципального образования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При прогнозе доходов учитываются прогнозы администрации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w:t>
      </w:r>
    </w:p>
    <w:p>
      <w:pPr>
        <w:pStyle w:val="Style19"/>
        <w:ind w:firstLine="558"/>
        <w:jc w:val="both"/>
        <w:rPr/>
      </w:pPr>
      <w:r>
        <w:rPr>
          <w:rFonts w:cs="Times New Roman" w:ascii="Times New Roman" w:hAnsi="Times New Roman"/>
          <w:sz w:val="28"/>
          <w:szCs w:val="28"/>
        </w:rPr>
        <w:t xml:space="preserve">Безвозмездные поступления из бюджета Ивантеевского муниципального района отражаются в доходной части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в суммах, утвержденных решением Ивантеевского районного Собрания о бюджете района  на текущий и очередной финансовый год. </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2. Формирование расходов</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При формировании расходной части среднесрочного финансового плана за основу принимается  структура расходов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на текущий финансовый год. Также могут использоваться данные отчета об исполнении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за отчетный финансовый год и ожидаемое исполнение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за текущий финансовый год.</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В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прогноз инфляции (индекс потребительских цен);</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темпы роста заработной платы работников  и муниципальных служащих;</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 темпы роста тарифов на коммунальные услуги, финансирование которых осуществляется за счет средств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величина прожиточного минимума;</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минимальный размер оплаты труда;</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 численность постоянного населения по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муниципальному образованию;</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численность потребителей соответствующих бюджетных услуг;</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финансовые нормативы, применяемые при расчете межбюджетных трансфертов;</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иные показатели.</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организационные преобразования, а также мероприятия, направленные на экономию расходов, в результате чего исключаются:</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расходы, утратившие значение в результате изменения полномочий распорядителей бюджетных средств;</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 расходы, произведенные в текущем финансовом году в соответствии с разовыми решениями о финансировании из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расходы на реализацию решений, срок действия которых ограничен текущим финансовым годом;</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расходы по актам (представлениям) проверок.</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Расчет расходов среднесрочного финансового плана осуществляется по экономическим статьям расходов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По отобранным для расчетов экономическим статьям устанавливаются коэффициенты пересчета расходов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предыдущего года и установленных коэффициентов пересчета.</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муниципальных услуг, контингент, штатную численность и другие показатели в сравнении с предыдущим годом. </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pPr>
        <w:pStyle w:val="Style19"/>
        <w:ind w:firstLine="558"/>
        <w:jc w:val="both"/>
        <w:rPr/>
      </w:pPr>
      <w:r>
        <w:rPr>
          <w:rFonts w:cs="Times New Roman" w:ascii="Times New Roman" w:hAnsi="Times New Roman"/>
          <w:sz w:val="28"/>
          <w:szCs w:val="28"/>
        </w:rPr>
        <w:t xml:space="preserve">Расчет расходов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по реализации муниципальных программ, производится исходя из приоритетов социально-экономического развития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с учетом утвержденных </w:t>
      </w:r>
      <w:r>
        <w:rPr>
          <w:rFonts w:cs="Times New Roman" w:ascii="Times New Roman" w:hAnsi="Times New Roman"/>
          <w:sz w:val="28"/>
          <w:szCs w:val="28"/>
          <w:shd w:fill="FFFFFF" w:val="clear"/>
        </w:rPr>
        <w:t xml:space="preserve"> муниципальных программ и проектов муниципальных программ, находящихся на различных стадиях рассмотрения органами местного самоуправления </w:t>
      </w:r>
      <w:r>
        <w:rPr>
          <w:rFonts w:cs="Times New Roman" w:ascii="Times New Roman" w:hAnsi="Times New Roman"/>
          <w:color w:val="000000"/>
          <w:sz w:val="28"/>
          <w:szCs w:val="28"/>
          <w:shd w:fill="FFFFFF" w:val="clear"/>
        </w:rPr>
        <w:t>Никола</w:t>
      </w:r>
      <w:r>
        <w:rPr>
          <w:rFonts w:cs="Times New Roman" w:ascii="Times New Roman" w:hAnsi="Times New Roman"/>
          <w:color w:val="000000"/>
          <w:sz w:val="28"/>
          <w:szCs w:val="28"/>
          <w:shd w:fill="FFFFFF" w:val="clear"/>
        </w:rPr>
        <w:t>евского</w:t>
      </w:r>
      <w:r>
        <w:rPr>
          <w:rFonts w:cs="Times New Roman" w:ascii="Times New Roman" w:hAnsi="Times New Roman"/>
          <w:sz w:val="28"/>
          <w:szCs w:val="28"/>
          <w:shd w:fill="FFFFFF" w:val="clear"/>
        </w:rPr>
        <w:t xml:space="preserve"> муни</w:t>
      </w:r>
      <w:r>
        <w:rPr>
          <w:rFonts w:cs="Times New Roman" w:ascii="Times New Roman" w:hAnsi="Times New Roman"/>
          <w:sz w:val="28"/>
          <w:szCs w:val="28"/>
        </w:rPr>
        <w:t>ципального образования.</w:t>
      </w:r>
    </w:p>
    <w:p>
      <w:pPr>
        <w:pStyle w:val="Style19"/>
        <w:ind w:firstLine="558"/>
        <w:jc w:val="both"/>
        <w:rPr>
          <w:rFonts w:ascii="Times New Roman" w:hAnsi="Times New Roman" w:cs="Times New Roman"/>
          <w:sz w:val="28"/>
          <w:szCs w:val="28"/>
        </w:rPr>
      </w:pPr>
      <w:r>
        <w:rPr>
          <w:rFonts w:cs="Times New Roman" w:ascii="Times New Roman" w:hAnsi="Times New Roman"/>
          <w:sz w:val="28"/>
          <w:szCs w:val="28"/>
        </w:rPr>
        <w:t xml:space="preserve">Объем расходов по обслуживанию муниципального долга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планируемого периода.</w:t>
      </w:r>
    </w:p>
    <w:p>
      <w:pPr>
        <w:pStyle w:val="Style19"/>
        <w:ind w:firstLine="558"/>
        <w:jc w:val="both"/>
        <w:rPr/>
      </w:pPr>
      <w:r>
        <w:rPr>
          <w:rFonts w:cs="Times New Roman" w:ascii="Times New Roman" w:hAnsi="Times New Roman"/>
          <w:sz w:val="28"/>
          <w:szCs w:val="28"/>
        </w:rPr>
        <w:t xml:space="preserve">Объем дефицита (профицита)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pPr>
        <w:pStyle w:val="Style19"/>
        <w:ind w:firstLine="558"/>
        <w:jc w:val="both"/>
        <w:rPr/>
      </w:pPr>
      <w:r>
        <w:rPr>
          <w:rFonts w:cs="Times New Roman" w:ascii="Times New Roman" w:hAnsi="Times New Roman"/>
          <w:sz w:val="28"/>
          <w:szCs w:val="28"/>
        </w:rPr>
        <w:t xml:space="preserve">Муниципальный долг бюджета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может существовать в формах, установленных Бюджетным кодексом Российской Федерации.</w:t>
      </w:r>
    </w:p>
    <w:p>
      <w:pPr>
        <w:pStyle w:val="Style19"/>
        <w:ind w:firstLine="558"/>
        <w:jc w:val="both"/>
        <w:rPr/>
      </w:pPr>
      <w:r>
        <w:rPr>
          <w:rFonts w:cs="Times New Roman" w:ascii="Times New Roman" w:hAnsi="Times New Roman"/>
          <w:sz w:val="28"/>
          <w:szCs w:val="28"/>
        </w:rPr>
        <w:t xml:space="preserve">Объем муниципального долга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 установленных Бюджетным кодексом Российской Федерации, законами и иными нормативными правовыми актами Российской Федерации, Саратовской области, Ивантеевским муниципальным районом и органами местного самоуправления </w:t>
      </w:r>
      <w:r>
        <w:rPr>
          <w:rFonts w:cs="Times New Roman" w:ascii="Times New Roman" w:hAnsi="Times New Roman"/>
          <w:color w:val="000000"/>
          <w:sz w:val="28"/>
          <w:szCs w:val="28"/>
        </w:rPr>
        <w:t>Никола</w:t>
      </w:r>
      <w:r>
        <w:rPr>
          <w:rFonts w:cs="Times New Roman" w:ascii="Times New Roman" w:hAnsi="Times New Roman"/>
          <w:color w:val="000000"/>
          <w:sz w:val="28"/>
          <w:szCs w:val="28"/>
        </w:rPr>
        <w:t>евского</w:t>
      </w:r>
      <w:r>
        <w:rPr>
          <w:rFonts w:cs="Times New Roman" w:ascii="Times New Roman" w:hAnsi="Times New Roman"/>
          <w:sz w:val="28"/>
          <w:szCs w:val="28"/>
        </w:rPr>
        <w:t xml:space="preserve"> муниципального образования.</w:t>
      </w:r>
    </w:p>
    <w:p>
      <w:pPr>
        <w:pStyle w:val="Style19"/>
        <w:shd w:fill="FFFFFF" w:val="clear"/>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jc w:val="right"/>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0"/>
        </w:sectPr>
        <w:pStyle w:val="Style19"/>
        <w:shd w:fill="FFFFFF" w:val="clear"/>
        <w:rPr>
          <w:rFonts w:ascii="Times New Roman" w:hAnsi="Times New Roman" w:cs="Times New Roman"/>
          <w:b/>
          <w:b/>
          <w:bCs/>
          <w:sz w:val="28"/>
          <w:szCs w:val="28"/>
        </w:rPr>
      </w:pPr>
      <w:r>
        <w:rPr>
          <w:rFonts w:cs="Times New Roman" w:ascii="Times New Roman" w:hAnsi="Times New Roman"/>
          <w:b/>
          <w:bCs/>
          <w:sz w:val="28"/>
          <w:szCs w:val="28"/>
        </w:rPr>
      </w:r>
    </w:p>
    <w:p>
      <w:pPr>
        <w:pStyle w:val="Normal"/>
        <w:keepLines/>
        <w:widowControl/>
        <w:overflowPunct w:val="false"/>
        <w:bidi w:val="0"/>
        <w:ind w:left="4195" w:right="0" w:hanging="0"/>
        <w:jc w:val="right"/>
        <w:textAlignment w:val="baseline"/>
        <w:rPr/>
      </w:pPr>
      <w:r>
        <w:rPr>
          <w:sz w:val="24"/>
          <w:szCs w:val="24"/>
        </w:rPr>
        <w:t xml:space="preserve">Приложение </w:t>
      </w:r>
      <w:r>
        <w:rPr>
          <w:sz w:val="24"/>
          <w:szCs w:val="24"/>
        </w:rPr>
        <w:t>3</w:t>
      </w:r>
      <w:r>
        <w:rPr>
          <w:color w:val="000000"/>
          <w:sz w:val="24"/>
          <w:szCs w:val="24"/>
        </w:rPr>
        <w:t xml:space="preserve"> к постановлению администрации </w:t>
      </w:r>
    </w:p>
    <w:p>
      <w:pPr>
        <w:pStyle w:val="Normal"/>
        <w:widowControl/>
        <w:overflowPunct w:val="false"/>
        <w:bidi w:val="0"/>
        <w:ind w:left="4479" w:right="0" w:hanging="0"/>
        <w:jc w:val="right"/>
        <w:textAlignment w:val="baseline"/>
        <w:rPr/>
      </w:pPr>
      <w:r>
        <w:rPr>
          <w:color w:val="000000"/>
          <w:sz w:val="24"/>
          <w:szCs w:val="24"/>
        </w:rPr>
        <w:t>Николаевского муниципального образования</w:t>
      </w:r>
      <w:r>
        <w:rPr>
          <w:sz w:val="24"/>
          <w:szCs w:val="24"/>
        </w:rPr>
        <w:t xml:space="preserve"> Ивантеевского муниципального района Саратовской области </w:t>
      </w:r>
    </w:p>
    <w:p>
      <w:pPr>
        <w:pStyle w:val="Normal"/>
        <w:widowControl/>
        <w:shd w:fill="FFFFFF" w:val="clear"/>
        <w:overflowPunct w:val="false"/>
        <w:bidi w:val="0"/>
        <w:ind w:left="4479" w:right="0" w:hanging="0"/>
        <w:jc w:val="right"/>
        <w:textAlignment w:val="baseline"/>
        <w:rPr>
          <w:rFonts w:ascii="Times New Roman" w:hAnsi="Times New Roman" w:cs="Times New Roman"/>
          <w:sz w:val="24"/>
          <w:szCs w:val="24"/>
        </w:rPr>
      </w:pPr>
      <w:r>
        <w:rPr>
          <w:rFonts w:cs="Times New Roman"/>
          <w:sz w:val="24"/>
          <w:szCs w:val="24"/>
        </w:rPr>
        <w:t>от 27.12.2019 № 4</w:t>
      </w:r>
      <w:r>
        <w:rPr>
          <w:rFonts w:cs="Times New Roman"/>
          <w:sz w:val="24"/>
          <w:szCs w:val="24"/>
        </w:rPr>
        <w:t>2</w:t>
      </w:r>
    </w:p>
    <w:p>
      <w:pPr>
        <w:pStyle w:val="Style19"/>
        <w:shd w:fill="FFFFFF" w:val="clear"/>
        <w:jc w:val="right"/>
        <w:rPr>
          <w:rFonts w:ascii="Times New Roman" w:hAnsi="Times New Roman" w:cs="Times New Roman"/>
          <w:sz w:val="24"/>
          <w:szCs w:val="24"/>
        </w:rPr>
      </w:pPr>
      <w:r>
        <w:rPr>
          <w:rFonts w:cs="Times New Roman" w:ascii="Times New Roman" w:hAnsi="Times New Roman"/>
          <w:sz w:val="24"/>
          <w:szCs w:val="24"/>
        </w:rPr>
      </w:r>
    </w:p>
    <w:p>
      <w:pPr>
        <w:pStyle w:val="Style19"/>
        <w:shd w:fill="FFFFFF" w:val="clear"/>
        <w:jc w:val="center"/>
        <w:rPr>
          <w:rFonts w:ascii="Times New Roman" w:hAnsi="Times New Roman" w:cs="Times New Roman"/>
          <w:b/>
          <w:b/>
          <w:bCs/>
          <w:sz w:val="28"/>
          <w:szCs w:val="28"/>
        </w:rPr>
      </w:pPr>
      <w:r>
        <w:rPr>
          <w:rFonts w:cs="Times New Roman" w:ascii="Times New Roman" w:hAnsi="Times New Roman"/>
          <w:b/>
          <w:bCs/>
          <w:sz w:val="28"/>
          <w:szCs w:val="28"/>
        </w:rPr>
        <w:t>Форма среднесрочного финансового плана</w:t>
      </w:r>
    </w:p>
    <w:p>
      <w:pPr>
        <w:pStyle w:val="Normal"/>
        <w:shd w:fill="FFFFFF" w:val="clear"/>
        <w:jc w:val="right"/>
        <w:rPr>
          <w:rFonts w:ascii="Times New Roman" w:hAnsi="Times New Roman" w:cs="Times New Roman"/>
          <w:sz w:val="28"/>
          <w:szCs w:val="28"/>
        </w:rPr>
      </w:pPr>
      <w:r>
        <w:rPr>
          <w:rFonts w:cs="Times New Roman"/>
          <w:sz w:val="28"/>
          <w:szCs w:val="28"/>
        </w:rPr>
        <w:t>Таблица 1</w:t>
      </w:r>
    </w:p>
    <w:p>
      <w:pPr>
        <w:pStyle w:val="ConsPlusNormal"/>
        <w:shd w:fill="FFFFFF" w:val="clear"/>
        <w:jc w:val="center"/>
        <w:rPr/>
      </w:pPr>
      <w:r>
        <w:rPr/>
        <w:t xml:space="preserve">Основные параметры бюджета муниципального образования </w:t>
      </w:r>
    </w:p>
    <w:p>
      <w:pPr>
        <w:pStyle w:val="ConsPlusNonformat"/>
        <w:widowControl/>
        <w:shd w:fill="FFFFFF" w:val="clea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ConsPlusNonformat"/>
        <w:widowControl/>
        <w:shd w:fill="FFFFFF" w:val="clear"/>
        <w:jc w:val="right"/>
        <w:rPr>
          <w:rFonts w:ascii="Times New Roman" w:hAnsi="Times New Roman" w:cs="Times New Roman"/>
          <w:sz w:val="28"/>
          <w:szCs w:val="28"/>
        </w:rPr>
      </w:pPr>
      <w:r>
        <w:rPr>
          <w:rFonts w:cs="Times New Roman" w:ascii="Times New Roman" w:hAnsi="Times New Roman"/>
          <w:sz w:val="28"/>
          <w:szCs w:val="28"/>
        </w:rPr>
        <w:t>(тыс. рублей)</w:t>
      </w:r>
    </w:p>
    <w:tbl>
      <w:tblPr>
        <w:tblW w:w="9910" w:type="dxa"/>
        <w:jc w:val="left"/>
        <w:tblInd w:w="0" w:type="dxa"/>
        <w:tblBorders>
          <w:top w:val="single" w:sz="4" w:space="0" w:color="000000"/>
          <w:left w:val="single" w:sz="4" w:space="0" w:color="000000"/>
        </w:tblBorders>
        <w:tblCellMar>
          <w:top w:w="0" w:type="dxa"/>
          <w:left w:w="65" w:type="dxa"/>
          <w:bottom w:w="0" w:type="dxa"/>
          <w:right w:w="70" w:type="dxa"/>
        </w:tblCellMar>
      </w:tblPr>
      <w:tblGrid>
        <w:gridCol w:w="709"/>
        <w:gridCol w:w="5518"/>
        <w:gridCol w:w="1453"/>
        <w:gridCol w:w="1027"/>
        <w:gridCol w:w="1203"/>
      </w:tblGrid>
      <w:tr>
        <w:trPr>
          <w:trHeight w:val="240" w:hRule="atLeast"/>
          <w:cantSplit w:val="true"/>
        </w:trPr>
        <w:tc>
          <w:tcPr>
            <w:tcW w:w="709" w:type="dxa"/>
            <w:vMerge w:val="restart"/>
            <w:tcBorders>
              <w:top w:val="single" w:sz="4" w:space="0" w:color="000000"/>
              <w:left w:val="single" w:sz="4" w:space="0" w:color="000000"/>
            </w:tcBorders>
            <w:shd w:fill="auto" w:val="clear"/>
            <w:tcMar>
              <w:left w:w="65" w:type="dxa"/>
            </w:tcMar>
          </w:tcPr>
          <w:p>
            <w:pPr>
              <w:pStyle w:val="ConsPlusNormal"/>
              <w:shd w:fill="FFFFFF" w:val="clear"/>
              <w:snapToGrid w:val="false"/>
              <w:rPr/>
            </w:pPr>
            <w:r>
              <w:rPr/>
              <w:t xml:space="preserve">N  </w:t>
              <w:br/>
              <w:t xml:space="preserve">п/п </w:t>
            </w:r>
          </w:p>
        </w:tc>
        <w:tc>
          <w:tcPr>
            <w:tcW w:w="5518" w:type="dxa"/>
            <w:vMerge w:val="restart"/>
            <w:tcBorders>
              <w:top w:val="single" w:sz="4" w:space="0" w:color="000000"/>
              <w:left w:val="single" w:sz="4" w:space="0" w:color="000000"/>
            </w:tcBorders>
            <w:shd w:fill="auto" w:val="clear"/>
            <w:tcMar>
              <w:left w:w="65" w:type="dxa"/>
            </w:tcMar>
          </w:tcPr>
          <w:p>
            <w:pPr>
              <w:pStyle w:val="ConsPlusNormal"/>
              <w:shd w:fill="FFFFFF" w:val="clear"/>
              <w:snapToGrid w:val="false"/>
              <w:rPr/>
            </w:pPr>
            <w:r>
              <w:rPr/>
              <w:t xml:space="preserve">Показатели                </w:t>
            </w:r>
          </w:p>
        </w:tc>
        <w:tc>
          <w:tcPr>
            <w:tcW w:w="1453" w:type="dxa"/>
            <w:vMerge w:val="restart"/>
            <w:tcBorders>
              <w:top w:val="single" w:sz="4" w:space="0" w:color="000000"/>
              <w:left w:val="single" w:sz="4" w:space="0" w:color="000000"/>
            </w:tcBorders>
            <w:shd w:fill="auto" w:val="clear"/>
            <w:tcMar>
              <w:left w:w="65" w:type="dxa"/>
            </w:tcMar>
          </w:tcPr>
          <w:p>
            <w:pPr>
              <w:pStyle w:val="ConsPlusNormal"/>
              <w:shd w:fill="FFFFFF" w:val="clear"/>
              <w:snapToGrid w:val="false"/>
              <w:rPr/>
            </w:pPr>
            <w:r>
              <w:rPr/>
              <w:t xml:space="preserve">Очередной </w:t>
              <w:br/>
              <w:t>финансовый</w:t>
              <w:br/>
              <w:t xml:space="preserve">год    </w:t>
            </w:r>
          </w:p>
        </w:tc>
        <w:tc>
          <w:tcPr>
            <w:tcW w:w="22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ind w:right="380" w:hanging="0"/>
              <w:rPr/>
            </w:pPr>
            <w:r>
              <w:rPr/>
              <w:t>Плановый период</w:t>
            </w:r>
          </w:p>
        </w:tc>
      </w:tr>
      <w:tr>
        <w:trPr>
          <w:trHeight w:val="360" w:hRule="atLeast"/>
          <w:cantSplit w:val="true"/>
        </w:trPr>
        <w:tc>
          <w:tcPr>
            <w:tcW w:w="709" w:type="dxa"/>
            <w:vMerge w:val="continue"/>
            <w:tcBorders>
              <w:top w:val="single" w:sz="4" w:space="0" w:color="000000"/>
              <w:left w:val="single" w:sz="4" w:space="0" w:color="000000"/>
            </w:tcBorders>
            <w:shd w:fill="auto" w:val="clear"/>
            <w:tcMar>
              <w:left w:w="65" w:type="dxa"/>
            </w:tcMar>
          </w:tcPr>
          <w:p>
            <w:pPr>
              <w:pStyle w:val="ConsPlusNormal"/>
              <w:shd w:fill="FFFFFF" w:val="clear"/>
              <w:snapToGrid w:val="false"/>
              <w:rPr>
                <w:rFonts w:cs="Times New Roman"/>
                <w:sz w:val="28"/>
                <w:szCs w:val="28"/>
              </w:rPr>
            </w:pPr>
            <w:r>
              <w:rPr>
                <w:rFonts w:cs="Times New Roman"/>
                <w:sz w:val="28"/>
                <w:szCs w:val="28"/>
              </w:rPr>
            </w:r>
          </w:p>
        </w:tc>
        <w:tc>
          <w:tcPr>
            <w:tcW w:w="5518" w:type="dxa"/>
            <w:vMerge w:val="continue"/>
            <w:tcBorders>
              <w:top w:val="single" w:sz="4" w:space="0" w:color="000000"/>
              <w:left w:val="single" w:sz="4" w:space="0" w:color="000000"/>
            </w:tcBorders>
            <w:shd w:fill="auto" w:val="clear"/>
            <w:tcMar>
              <w:left w:w="65" w:type="dxa"/>
            </w:tcMar>
          </w:tcPr>
          <w:p>
            <w:pPr>
              <w:pStyle w:val="ConsPlusNormal"/>
              <w:shd w:fill="FFFFFF" w:val="clear"/>
              <w:snapToGrid w:val="false"/>
              <w:rPr/>
            </w:pPr>
            <w:r>
              <w:rPr/>
            </w:r>
          </w:p>
        </w:tc>
        <w:tc>
          <w:tcPr>
            <w:tcW w:w="1453" w:type="dxa"/>
            <w:vMerge w:val="continue"/>
            <w:tcBorders>
              <w:top w:val="single" w:sz="4" w:space="0" w:color="000000"/>
              <w:left w:val="single" w:sz="4" w:space="0" w:color="000000"/>
            </w:tcBorders>
            <w:shd w:fill="auto" w:val="clear"/>
            <w:tcMar>
              <w:left w:w="65" w:type="dxa"/>
            </w:tcMar>
          </w:tcPr>
          <w:p>
            <w:pPr>
              <w:pStyle w:val="ConsPlusNormal"/>
              <w:shd w:fill="FFFFFF" w:val="clear"/>
              <w:snapToGrid w:val="false"/>
              <w:rPr/>
            </w:pPr>
            <w:r>
              <w:rPr/>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pPr>
            <w:r>
              <w:rPr/>
              <w:t>1-й год</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rPr/>
            </w:pPr>
            <w:r>
              <w:rPr/>
              <w:t>2-й год</w:t>
            </w:r>
          </w:p>
        </w:tc>
      </w:tr>
      <w:tr>
        <w:trPr>
          <w:trHeight w:val="240" w:hRule="atLeast"/>
          <w:cantSplit w:val="true"/>
        </w:trPr>
        <w:tc>
          <w:tcPr>
            <w:tcW w:w="7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pPr>
            <w:r>
              <w:rPr/>
              <w:t xml:space="preserve">1  </w:t>
            </w:r>
          </w:p>
        </w:tc>
        <w:tc>
          <w:tcPr>
            <w:tcW w:w="55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pPr>
            <w:r>
              <w:rPr/>
              <w:t>2</w:t>
            </w:r>
          </w:p>
        </w:tc>
        <w:tc>
          <w:tcPr>
            <w:tcW w:w="145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pPr>
            <w:r>
              <w:rPr/>
              <w:t>3</w:t>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pPr>
            <w:r>
              <w:rPr/>
              <w:t>4</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pPr>
            <w:r>
              <w:rPr/>
              <w:t>5</w:t>
            </w:r>
          </w:p>
        </w:tc>
      </w:tr>
      <w:tr>
        <w:trPr>
          <w:trHeight w:val="240" w:hRule="atLeast"/>
          <w:cantSplit w:val="true"/>
        </w:trPr>
        <w:tc>
          <w:tcPr>
            <w:tcW w:w="7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1. </w:t>
            </w:r>
          </w:p>
        </w:tc>
        <w:tc>
          <w:tcPr>
            <w:tcW w:w="55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Доходы - всего:                          </w:t>
            </w:r>
          </w:p>
        </w:tc>
        <w:tc>
          <w:tcPr>
            <w:tcW w:w="145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в том числе:                             </w:t>
            </w:r>
          </w:p>
        </w:tc>
        <w:tc>
          <w:tcPr>
            <w:tcW w:w="145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Налоговые и неналоговые доходы           </w:t>
            </w:r>
          </w:p>
        </w:tc>
        <w:tc>
          <w:tcPr>
            <w:tcW w:w="145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hd w:fill="FFFFFF" w:val="clear"/>
              <w:snapToGrid w:val="false"/>
              <w:jc w:val="center"/>
              <w:rPr>
                <w:rFonts w:ascii="Times New Roman" w:hAnsi="Times New Roman" w:cs="Times New Roman"/>
                <w:sz w:val="28"/>
                <w:szCs w:val="28"/>
              </w:rPr>
            </w:pPr>
            <w:r>
              <w:rPr>
                <w:rFonts w:cs="Times New Roman"/>
                <w:sz w:val="28"/>
                <w:szCs w:val="28"/>
              </w:rPr>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r>
      <w:tr>
        <w:trPr>
          <w:trHeight w:val="240" w:hRule="atLeast"/>
          <w:cantSplit w:val="true"/>
        </w:trPr>
        <w:tc>
          <w:tcPr>
            <w:tcW w:w="7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ascii="Times New Roman" w:hAnsi="Times New Roman" w:cs="Times New Roman"/>
                <w:b w:val="false"/>
                <w:b w:val="false"/>
                <w:bCs w:val="false"/>
                <w:sz w:val="28"/>
                <w:szCs w:val="28"/>
              </w:rPr>
            </w:pPr>
            <w:r>
              <w:rPr>
                <w:rFonts w:cs="Times New Roman"/>
                <w:b w:val="false"/>
                <w:bCs w:val="false"/>
                <w:sz w:val="28"/>
                <w:szCs w:val="28"/>
              </w:rPr>
            </w:r>
          </w:p>
        </w:tc>
        <w:tc>
          <w:tcPr>
            <w:tcW w:w="55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Безвозмездные поступления                </w:t>
            </w:r>
          </w:p>
        </w:tc>
        <w:tc>
          <w:tcPr>
            <w:tcW w:w="145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2. </w:t>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Расходы - всего                          </w:t>
            </w:r>
          </w:p>
        </w:tc>
        <w:tc>
          <w:tcPr>
            <w:tcW w:w="145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02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3. </w:t>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Профицит (+), дефицит (-)                </w:t>
            </w:r>
          </w:p>
        </w:tc>
        <w:tc>
          <w:tcPr>
            <w:tcW w:w="145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02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4. </w:t>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Источники   внутреннего    финансирования</w:t>
              <w:br/>
              <w:t xml:space="preserve">дефицита бюджета                       </w:t>
            </w:r>
          </w:p>
        </w:tc>
        <w:tc>
          <w:tcPr>
            <w:tcW w:w="145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02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hd w:fill="FFFFFF" w:val="clear"/>
              <w:snapToGrid w:val="false"/>
              <w:jc w:val="center"/>
              <w:rPr>
                <w:rFonts w:ascii="Times New Roman" w:hAnsi="Times New Roman" w:cs="Times New Roman"/>
                <w:b/>
                <w:b/>
                <w:bCs/>
                <w:sz w:val="28"/>
                <w:szCs w:val="28"/>
              </w:rPr>
            </w:pPr>
            <w:r>
              <w:rPr>
                <w:rFonts w:cs="Times New Roman"/>
                <w:b/>
                <w:bCs/>
                <w:sz w:val="28"/>
                <w:szCs w:val="28"/>
              </w:rPr>
            </w:r>
          </w:p>
        </w:tc>
      </w:tr>
      <w:tr>
        <w:trPr>
          <w:trHeight w:val="240" w:hRule="atLeast"/>
          <w:cantSplit w:val="true"/>
        </w:trPr>
        <w:tc>
          <w:tcPr>
            <w:tcW w:w="7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ascii="Times New Roman" w:hAnsi="Times New Roman" w:cs="Times New Roman"/>
                <w:b w:val="false"/>
                <w:b w:val="false"/>
                <w:bCs w:val="false"/>
                <w:sz w:val="28"/>
                <w:szCs w:val="28"/>
              </w:rPr>
            </w:pPr>
            <w:r>
              <w:rPr>
                <w:rFonts w:cs="Times New Roman"/>
                <w:b w:val="false"/>
                <w:bCs w:val="false"/>
                <w:sz w:val="28"/>
                <w:szCs w:val="28"/>
              </w:rPr>
            </w:r>
          </w:p>
        </w:tc>
        <w:tc>
          <w:tcPr>
            <w:tcW w:w="55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из них:                                  </w:t>
            </w:r>
          </w:p>
        </w:tc>
        <w:tc>
          <w:tcPr>
            <w:tcW w:w="145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из них: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кредиты кредитных организаций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получение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погашение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бюджетные  кредиты  от  других   бюджетов</w:t>
              <w:br/>
              <w:t xml:space="preserve">бюджетной системы Российской Федерации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получение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погашение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rFonts w:cs="Times New Roman"/>
                <w:b w:val="false"/>
                <w:b w:val="false"/>
                <w:bCs w:val="false"/>
                <w:sz w:val="28"/>
                <w:szCs w:val="28"/>
              </w:rPr>
            </w:pPr>
            <w:r>
              <w:rPr>
                <w:rFonts w:cs="Times New Roman"/>
                <w:b w:val="false"/>
                <w:bCs w:val="false"/>
                <w:sz w:val="28"/>
                <w:szCs w:val="28"/>
              </w:rPr>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иные источники внутреннего финансирования</w:t>
              <w:br/>
              <w:t xml:space="preserve">дефицита бюджета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r>
        <w:trPr>
          <w:trHeight w:val="240" w:hRule="atLeast"/>
          <w:cantSplit w:val="true"/>
        </w:trPr>
        <w:tc>
          <w:tcPr>
            <w:tcW w:w="709"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pPr>
            <w:r>
              <w:rPr>
                <w:b w:val="false"/>
                <w:bCs w:val="false"/>
              </w:rPr>
              <w:t>5.</w:t>
            </w:r>
          </w:p>
        </w:tc>
        <w:tc>
          <w:tcPr>
            <w:tcW w:w="5518"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rPr>
                <w:b w:val="false"/>
                <w:b w:val="false"/>
                <w:bCs w:val="false"/>
              </w:rPr>
            </w:pPr>
            <w:r>
              <w:rPr>
                <w:b w:val="false"/>
                <w:bCs w:val="false"/>
              </w:rPr>
              <w:t xml:space="preserve">Верхний предел муниципального долга по состоянию на 1 января года, следующего за очередным финансовым годом              </w:t>
            </w:r>
          </w:p>
        </w:tc>
        <w:tc>
          <w:tcPr>
            <w:tcW w:w="1453"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027" w:type="dxa"/>
            <w:tcBorders>
              <w:left w:val="single" w:sz="4" w:space="0" w:color="000000"/>
              <w:bottom w:val="single" w:sz="4" w:space="0" w:color="000000"/>
              <w:insideH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c>
          <w:tcPr>
            <w:tcW w:w="12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nsPlusNormal"/>
              <w:shd w:fill="FFFFFF" w:val="clear"/>
              <w:snapToGrid w:val="false"/>
              <w:jc w:val="center"/>
              <w:rPr>
                <w:b w:val="false"/>
                <w:b w:val="false"/>
                <w:bCs w:val="false"/>
              </w:rPr>
            </w:pPr>
            <w:r>
              <w:rPr>
                <w:b w:val="false"/>
                <w:bCs w:val="false"/>
              </w:rPr>
            </w:r>
          </w:p>
        </w:tc>
      </w:tr>
    </w:tbl>
    <w:p>
      <w:pPr>
        <w:pStyle w:val="Normal"/>
        <w:shd w:fill="FFFFFF" w:val="clear"/>
        <w:tabs>
          <w:tab w:val="left" w:pos="2355" w:leader="none"/>
          <w:tab w:val="right" w:pos="9638" w:leader="none"/>
        </w:tabs>
        <w:rPr>
          <w:rFonts w:ascii="Times New Roman" w:hAnsi="Times New Roman" w:cs="Times New Roman"/>
          <w:sz w:val="28"/>
          <w:szCs w:val="28"/>
        </w:rPr>
      </w:pPr>
      <w:r>
        <w:rPr>
          <w:rFonts w:cs="Times New Roman"/>
          <w:sz w:val="28"/>
          <w:szCs w:val="28"/>
        </w:rPr>
      </w:r>
    </w:p>
    <w:p>
      <w:pPr>
        <w:pStyle w:val="Normal"/>
        <w:shd w:fill="FFFFFF" w:val="clear"/>
        <w:tabs>
          <w:tab w:val="left" w:pos="2355" w:leader="none"/>
          <w:tab w:val="right" w:pos="9638" w:leader="none"/>
        </w:tabs>
        <w:rPr>
          <w:rFonts w:ascii="Times New Roman" w:hAnsi="Times New Roman" w:cs="Times New Roman"/>
          <w:sz w:val="28"/>
          <w:szCs w:val="28"/>
        </w:rPr>
      </w:pPr>
      <w:r>
        <w:rPr>
          <w:rFonts w:cs="Times New Roman"/>
          <w:sz w:val="28"/>
          <w:szCs w:val="28"/>
        </w:rPr>
      </w:r>
    </w:p>
    <w:p>
      <w:pPr>
        <w:pStyle w:val="Normal"/>
        <w:shd w:fill="FFFFFF" w:val="clear"/>
        <w:tabs>
          <w:tab w:val="left" w:pos="2355" w:leader="none"/>
          <w:tab w:val="right" w:pos="9638" w:leader="none"/>
        </w:tabs>
        <w:jc w:val="right"/>
        <w:rPr>
          <w:rFonts w:ascii="Times New Roman" w:hAnsi="Times New Roman" w:cs="Times New Roman"/>
          <w:sz w:val="28"/>
          <w:szCs w:val="28"/>
        </w:rPr>
      </w:pPr>
      <w:r>
        <w:rPr>
          <w:rFonts w:cs="Times New Roman"/>
          <w:sz w:val="28"/>
          <w:szCs w:val="28"/>
        </w:rPr>
      </w:r>
    </w:p>
    <w:p>
      <w:pPr>
        <w:pStyle w:val="Normal"/>
        <w:shd w:fill="FFFFFF" w:val="clear"/>
        <w:tabs>
          <w:tab w:val="left" w:pos="2355" w:leader="none"/>
          <w:tab w:val="right" w:pos="9638" w:leader="none"/>
        </w:tabs>
        <w:jc w:val="right"/>
        <w:rPr>
          <w:rFonts w:ascii="Times New Roman" w:hAnsi="Times New Roman" w:cs="Times New Roman"/>
          <w:sz w:val="28"/>
          <w:szCs w:val="28"/>
        </w:rPr>
      </w:pPr>
      <w:r>
        <w:rPr>
          <w:rFonts w:cs="Times New Roman"/>
          <w:sz w:val="28"/>
          <w:szCs w:val="28"/>
        </w:rPr>
      </w:r>
    </w:p>
    <w:p>
      <w:pPr>
        <w:pStyle w:val="Normal"/>
        <w:shd w:fill="FFFFFF" w:val="clear"/>
        <w:tabs>
          <w:tab w:val="left" w:pos="2355" w:leader="none"/>
          <w:tab w:val="right" w:pos="9638" w:leader="none"/>
        </w:tabs>
        <w:jc w:val="right"/>
        <w:rPr>
          <w:rFonts w:ascii="Times New Roman" w:hAnsi="Times New Roman" w:cs="Times New Roman"/>
          <w:sz w:val="28"/>
          <w:szCs w:val="28"/>
        </w:rPr>
      </w:pPr>
      <w:r>
        <w:rPr>
          <w:rFonts w:cs="Times New Roman"/>
          <w:sz w:val="28"/>
          <w:szCs w:val="28"/>
        </w:rPr>
      </w:r>
    </w:p>
    <w:p>
      <w:pPr>
        <w:pStyle w:val="Normal"/>
        <w:shd w:fill="FFFFFF" w:val="clear"/>
        <w:tabs>
          <w:tab w:val="left" w:pos="2355" w:leader="none"/>
          <w:tab w:val="right" w:pos="9638" w:leader="none"/>
        </w:tabs>
        <w:jc w:val="right"/>
        <w:rPr>
          <w:rFonts w:ascii="Times New Roman" w:hAnsi="Times New Roman" w:cs="Times New Roman"/>
          <w:sz w:val="28"/>
          <w:szCs w:val="28"/>
        </w:rPr>
      </w:pPr>
      <w:r>
        <w:rPr>
          <w:rFonts w:cs="Times New Roman"/>
          <w:sz w:val="28"/>
          <w:szCs w:val="28"/>
        </w:rPr>
        <w:t>Таблица №2</w:t>
      </w:r>
    </w:p>
    <w:p>
      <w:pPr>
        <w:pStyle w:val="Oaenoaieoiaioa"/>
        <w:shd w:fill="FFFFFF" w:val="clear"/>
        <w:tabs>
          <w:tab w:val="left" w:pos="142" w:leader="none"/>
        </w:tabs>
        <w:ind w:left="0" w:right="0" w:hanging="0"/>
        <w:jc w:val="right"/>
        <w:rPr>
          <w:rFonts w:ascii="Times New Roman" w:hAnsi="Times New Roman" w:eastAsia="Times New Roman" w:cs="Times New Roman"/>
          <w:szCs w:val="28"/>
        </w:rPr>
      </w:pPr>
      <w:r>
        <w:rPr>
          <w:rFonts w:eastAsia="Times New Roman" w:cs="Times New Roman"/>
          <w:szCs w:val="28"/>
        </w:rPr>
        <w:t xml:space="preserve">                                                           </w:t>
      </w:r>
    </w:p>
    <w:p>
      <w:pPr>
        <w:pStyle w:val="2"/>
        <w:keepNext w:val="true"/>
        <w:widowControl/>
        <w:shd w:fill="FFFFFF" w:val="clear"/>
        <w:bidi w:val="0"/>
        <w:ind w:left="0" w:right="0" w:hanging="0"/>
        <w:jc w:val="center"/>
        <w:outlineLvl w:val="1"/>
        <w:rPr>
          <w:rFonts w:ascii="Times New Roman" w:hAnsi="Times New Roman" w:cs="Times New Roman"/>
          <w:szCs w:val="28"/>
        </w:rPr>
      </w:pPr>
      <w:r>
        <w:rPr>
          <w:rFonts w:cs="Times New Roman"/>
          <w:szCs w:val="28"/>
        </w:rPr>
        <w:t xml:space="preserve">Объемы бюджетных ассигнований по главным распорядителям средств бюджета муниципального образования по разделам, подразделам, целевым статьям, группам и подгруппам видов расходов классификации расходов бюджета </w:t>
      </w:r>
      <w:r>
        <w:rPr>
          <w:rFonts w:cs="Times New Roman"/>
          <w:color w:val="000000"/>
          <w:sz w:val="28"/>
          <w:szCs w:val="28"/>
        </w:rPr>
        <w:t>Никола</w:t>
      </w:r>
      <w:r>
        <w:rPr>
          <w:rFonts w:cs="Times New Roman"/>
          <w:color w:val="000000"/>
          <w:sz w:val="28"/>
          <w:szCs w:val="28"/>
        </w:rPr>
        <w:t>евского</w:t>
      </w:r>
      <w:r>
        <w:rPr>
          <w:rFonts w:cs="Times New Roman"/>
          <w:szCs w:val="28"/>
        </w:rPr>
        <w:t xml:space="preserve"> муниципального образования</w:t>
      </w:r>
    </w:p>
    <w:p>
      <w:pPr>
        <w:pStyle w:val="Normal"/>
        <w:shd w:fill="FFFFFF" w:val="clear"/>
        <w:rPr>
          <w:rFonts w:ascii="Times New Roman" w:hAnsi="Times New Roman" w:cs="Times New Roman"/>
        </w:rPr>
      </w:pPr>
      <w:r>
        <w:rPr>
          <w:rFonts w:eastAsia="Times New Roman" w:cs="Times New Roman"/>
          <w:sz w:val="28"/>
          <w:szCs w:val="28"/>
        </w:rPr>
        <w:t xml:space="preserve">                                                                                             </w:t>
      </w:r>
      <w:r>
        <w:rPr>
          <w:rFonts w:cs="Times New Roman"/>
          <w:sz w:val="28"/>
          <w:szCs w:val="28"/>
        </w:rPr>
        <w:t>(тыс. рублей)</w:t>
      </w:r>
    </w:p>
    <w:p>
      <w:pPr>
        <w:pStyle w:val="Normal"/>
        <w:shd w:fill="FFFFFF" w:val="clear"/>
        <w:rPr>
          <w:sz w:val="28"/>
          <w:szCs w:val="28"/>
        </w:rPr>
      </w:pPr>
      <w:r>
        <w:rPr>
          <w:rFonts w:cs="Times New Roman"/>
        </w:rPr>
      </w:r>
    </w:p>
    <w:tbl>
      <w:tblPr>
        <w:tblW w:w="10270" w:type="dxa"/>
        <w:jc w:val="left"/>
        <w:tblInd w:w="-18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13"/>
        <w:gridCol w:w="654"/>
        <w:gridCol w:w="1026"/>
        <w:gridCol w:w="974"/>
        <w:gridCol w:w="1213"/>
        <w:gridCol w:w="840"/>
        <w:gridCol w:w="1213"/>
        <w:gridCol w:w="1054"/>
        <w:gridCol w:w="1083"/>
      </w:tblGrid>
      <w:tr>
        <w:trPr>
          <w:trHeight w:val="390" w:hRule="atLeast"/>
        </w:trPr>
        <w:tc>
          <w:tcPr>
            <w:tcW w:w="2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
              <w:keepNext w:val="false"/>
              <w:widowControl w:val="false"/>
              <w:shd w:fill="FFFFFF" w:val="clear"/>
              <w:snapToGrid w:val="false"/>
              <w:jc w:val="center"/>
              <w:rPr>
                <w:rFonts w:ascii="Times New Roman" w:hAnsi="Times New Roman" w:cs="Times New Roman"/>
                <w:szCs w:val="28"/>
              </w:rPr>
            </w:pPr>
            <w:r>
              <w:rPr>
                <w:rFonts w:cs="Times New Roman"/>
                <w:szCs w:val="28"/>
              </w:rPr>
              <w:t>Наименование</w:t>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ind w:right="969" w:hanging="0"/>
              <w:jc w:val="both"/>
              <w:rPr>
                <w:rFonts w:ascii="Times New Roman" w:hAnsi="Times New Roman" w:cs="Times New Roman"/>
                <w:sz w:val="28"/>
                <w:szCs w:val="28"/>
              </w:rPr>
            </w:pPr>
            <w:r>
              <w:rPr>
                <w:rFonts w:cs="Times New Roman"/>
                <w:sz w:val="28"/>
                <w:szCs w:val="28"/>
              </w:rPr>
              <w:t>Код</w:t>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Раз-дел</w:t>
            </w:r>
          </w:p>
        </w:tc>
        <w:tc>
          <w:tcPr>
            <w:tcW w:w="9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Под</w:t>
            </w:r>
          </w:p>
          <w:p>
            <w:pPr>
              <w:pStyle w:val="Normal"/>
              <w:widowControl w:val="false"/>
              <w:shd w:fill="FFFFFF" w:val="clear"/>
              <w:tabs>
                <w:tab w:val="left" w:pos="5080" w:leader="none"/>
              </w:tabs>
              <w:jc w:val="center"/>
              <w:rPr>
                <w:rFonts w:ascii="Times New Roman" w:hAnsi="Times New Roman" w:cs="Times New Roman"/>
                <w:sz w:val="28"/>
                <w:szCs w:val="28"/>
              </w:rPr>
            </w:pPr>
            <w:r>
              <w:rPr>
                <w:rFonts w:cs="Times New Roman"/>
                <w:sz w:val="28"/>
                <w:szCs w:val="28"/>
              </w:rPr>
              <w:t>раздел</w:t>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Целевая</w:t>
            </w:r>
          </w:p>
          <w:p>
            <w:pPr>
              <w:pStyle w:val="Normal"/>
              <w:widowControl w:val="false"/>
              <w:shd w:fill="FFFFFF" w:val="clear"/>
              <w:tabs>
                <w:tab w:val="left" w:pos="5080" w:leader="none"/>
              </w:tabs>
              <w:jc w:val="center"/>
              <w:rPr>
                <w:rFonts w:ascii="Times New Roman" w:hAnsi="Times New Roman" w:cs="Times New Roman"/>
                <w:sz w:val="28"/>
                <w:szCs w:val="28"/>
              </w:rPr>
            </w:pPr>
            <w:r>
              <w:rPr>
                <w:rFonts w:cs="Times New Roman"/>
                <w:sz w:val="28"/>
                <w:szCs w:val="28"/>
              </w:rPr>
              <w:t>статья</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Вид</w:t>
            </w:r>
          </w:p>
          <w:p>
            <w:pPr>
              <w:pStyle w:val="Normal"/>
              <w:widowControl w:val="false"/>
              <w:shd w:fill="FFFFFF" w:val="clear"/>
              <w:tabs>
                <w:tab w:val="left" w:pos="5080" w:leader="none"/>
              </w:tabs>
              <w:jc w:val="center"/>
              <w:rPr>
                <w:rFonts w:ascii="Times New Roman" w:hAnsi="Times New Roman" w:cs="Times New Roman"/>
                <w:sz w:val="28"/>
                <w:szCs w:val="28"/>
              </w:rPr>
            </w:pPr>
            <w:r>
              <w:rPr>
                <w:rFonts w:cs="Times New Roman"/>
                <w:sz w:val="28"/>
                <w:szCs w:val="28"/>
              </w:rPr>
              <w:t>расходов</w:t>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shd w:fill="FFFFFF" w:val="clear"/>
              <w:snapToGrid w:val="false"/>
              <w:rPr>
                <w:b w:val="false"/>
                <w:b w:val="false"/>
                <w:bCs w:val="false"/>
              </w:rPr>
            </w:pPr>
            <w:r>
              <w:rPr>
                <w:b w:val="false"/>
                <w:bCs w:val="false"/>
              </w:rPr>
              <w:t xml:space="preserve">Очеред-ной </w:t>
              <w:br/>
              <w:t>финан-совый</w:t>
              <w:br/>
              <w:t xml:space="preserve">год    </w:t>
            </w:r>
          </w:p>
        </w:tc>
        <w:tc>
          <w:tcPr>
            <w:tcW w:w="10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Плано-вый период 1-й год</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Плано-вый период 2-й год</w:t>
            </w:r>
          </w:p>
        </w:tc>
      </w:tr>
      <w:tr>
        <w:trPr>
          <w:trHeight w:val="390" w:hRule="atLeast"/>
        </w:trPr>
        <w:tc>
          <w:tcPr>
            <w:tcW w:w="2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
              <w:keepNext w:val="false"/>
              <w:widowControl w:val="false"/>
              <w:shd w:fill="FFFFFF" w:val="clear"/>
              <w:snapToGrid w:val="false"/>
              <w:jc w:val="center"/>
              <w:rPr>
                <w:rFonts w:ascii="Times New Roman" w:hAnsi="Times New Roman" w:cs="Times New Roman"/>
                <w:szCs w:val="28"/>
              </w:rPr>
            </w:pPr>
            <w:r>
              <w:rPr>
                <w:rFonts w:cs="Times New Roman"/>
                <w:szCs w:val="28"/>
              </w:rPr>
              <w:t>1</w:t>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2</w:t>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3</w:t>
            </w:r>
          </w:p>
        </w:tc>
        <w:tc>
          <w:tcPr>
            <w:tcW w:w="9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4</w:t>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jc w:val="center"/>
              <w:rPr>
                <w:rFonts w:ascii="Times New Roman" w:hAnsi="Times New Roman" w:cs="Times New Roman"/>
                <w:sz w:val="28"/>
                <w:szCs w:val="28"/>
              </w:rPr>
            </w:pPr>
            <w:r>
              <w:rPr>
                <w:rFonts w:cs="Times New Roman"/>
                <w:sz w:val="28"/>
                <w:szCs w:val="28"/>
              </w:rPr>
              <w:t>5</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ind w:left="-288" w:firstLine="288"/>
              <w:jc w:val="center"/>
              <w:rPr>
                <w:rFonts w:ascii="Times New Roman" w:hAnsi="Times New Roman" w:cs="Times New Roman"/>
                <w:sz w:val="28"/>
                <w:szCs w:val="28"/>
              </w:rPr>
            </w:pPr>
            <w:r>
              <w:rPr>
                <w:rFonts w:cs="Times New Roman"/>
                <w:sz w:val="28"/>
                <w:szCs w:val="28"/>
              </w:rPr>
              <w:t>6</w:t>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ind w:left="-288" w:hanging="0"/>
              <w:jc w:val="center"/>
              <w:rPr>
                <w:rFonts w:ascii="Times New Roman" w:hAnsi="Times New Roman" w:cs="Times New Roman"/>
                <w:sz w:val="28"/>
                <w:szCs w:val="28"/>
              </w:rPr>
            </w:pPr>
            <w:r>
              <w:rPr>
                <w:rFonts w:cs="Times New Roman"/>
                <w:sz w:val="28"/>
                <w:szCs w:val="28"/>
              </w:rPr>
              <w:t>7</w:t>
            </w:r>
          </w:p>
        </w:tc>
        <w:tc>
          <w:tcPr>
            <w:tcW w:w="10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hd w:fill="FFFFFF" w:val="clear"/>
              <w:tabs>
                <w:tab w:val="left" w:pos="5080" w:leader="none"/>
              </w:tabs>
              <w:snapToGrid w:val="false"/>
              <w:ind w:left="-288" w:hanging="0"/>
              <w:jc w:val="center"/>
              <w:rPr>
                <w:rFonts w:ascii="Times New Roman" w:hAnsi="Times New Roman" w:cs="Times New Roman"/>
                <w:sz w:val="28"/>
                <w:szCs w:val="28"/>
              </w:rPr>
            </w:pPr>
            <w:r>
              <w:rPr>
                <w:rFonts w:cs="Times New Roman"/>
                <w:sz w:val="28"/>
                <w:szCs w:val="28"/>
              </w:rPr>
              <w:t>8</w:t>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hd w:fill="FFFFFF" w:val="clear"/>
              <w:tabs>
                <w:tab w:val="left" w:pos="5080" w:leader="none"/>
              </w:tabs>
              <w:snapToGrid w:val="false"/>
              <w:ind w:left="-288" w:hanging="0"/>
              <w:jc w:val="center"/>
              <w:rPr>
                <w:rFonts w:ascii="Times New Roman" w:hAnsi="Times New Roman" w:cs="Times New Roman"/>
                <w:sz w:val="28"/>
                <w:szCs w:val="28"/>
              </w:rPr>
            </w:pPr>
            <w:r>
              <w:rPr>
                <w:rFonts w:cs="Times New Roman"/>
                <w:sz w:val="28"/>
                <w:szCs w:val="28"/>
              </w:rPr>
              <w:t>9</w:t>
            </w:r>
          </w:p>
        </w:tc>
      </w:tr>
      <w:tr>
        <w:trPr>
          <w:trHeight w:val="390" w:hRule="atLeast"/>
        </w:trPr>
        <w:tc>
          <w:tcPr>
            <w:tcW w:w="2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color w:val="000000"/>
                <w:sz w:val="28"/>
                <w:szCs w:val="28"/>
              </w:rPr>
            </w:pPr>
            <w:r>
              <w:rPr>
                <w:rFonts w:cs="Times New Roman"/>
                <w:color w:val="000000"/>
                <w:sz w:val="28"/>
                <w:szCs w:val="28"/>
              </w:rP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color w:val="000000"/>
                <w:sz w:val="28"/>
                <w:szCs w:val="28"/>
              </w:rPr>
            </w:pPr>
            <w:r>
              <w:rPr>
                <w:rFonts w:cs="Times New Roman"/>
                <w:color w:val="000000"/>
                <w:sz w:val="28"/>
                <w:szCs w:val="28"/>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color w:val="000000"/>
                <w:sz w:val="28"/>
                <w:szCs w:val="28"/>
              </w:rPr>
            </w:pPr>
            <w:r>
              <w:rPr>
                <w:rFonts w:cs="Times New Roman"/>
                <w:color w:val="000000"/>
                <w:sz w:val="28"/>
                <w:szCs w:val="28"/>
              </w:rPr>
            </w:r>
          </w:p>
        </w:tc>
        <w:tc>
          <w:tcPr>
            <w:tcW w:w="9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color w:val="000000"/>
                <w:sz w:val="28"/>
                <w:szCs w:val="28"/>
              </w:rPr>
            </w:pPr>
            <w:r>
              <w:rPr>
                <w:rFonts w:cs="Times New Roman"/>
                <w:color w:val="000000"/>
                <w:sz w:val="28"/>
                <w:szCs w:val="28"/>
              </w:rPr>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sz w:val="28"/>
                <w:szCs w:val="28"/>
              </w:rPr>
            </w:pPr>
            <w:r>
              <w:rPr>
                <w:rFonts w:cs="Times New Roman"/>
                <w:sz w:val="28"/>
                <w:szCs w:val="28"/>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sz w:val="28"/>
                <w:szCs w:val="28"/>
              </w:rPr>
            </w:pPr>
            <w:r>
              <w:rPr>
                <w:rFonts w:cs="Times New Roman"/>
                <w:sz w:val="28"/>
                <w:szCs w:val="28"/>
              </w:rPr>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ind w:left="-1" w:right="12" w:hanging="0"/>
              <w:rPr>
                <w:rFonts w:ascii="Times New Roman" w:hAnsi="Times New Roman" w:cs="Times New Roman"/>
                <w:sz w:val="28"/>
                <w:szCs w:val="28"/>
              </w:rPr>
            </w:pPr>
            <w:r>
              <w:rPr>
                <w:rFonts w:cs="Times New Roman"/>
                <w:sz w:val="28"/>
                <w:szCs w:val="28"/>
              </w:rPr>
            </w:r>
          </w:p>
        </w:tc>
        <w:tc>
          <w:tcPr>
            <w:tcW w:w="10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color w:val="000000"/>
                <w:sz w:val="28"/>
                <w:szCs w:val="28"/>
              </w:rPr>
            </w:pPr>
            <w:r>
              <w:rPr>
                <w:rFonts w:cs="Times New Roman"/>
                <w:color w:val="000000"/>
                <w:sz w:val="28"/>
                <w:szCs w:val="28"/>
              </w:rPr>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hd w:fill="FFFFFF" w:val="clear"/>
              <w:snapToGrid w:val="false"/>
              <w:jc w:val="center"/>
              <w:rPr>
                <w:rFonts w:ascii="Times New Roman" w:hAnsi="Times New Roman" w:cs="Times New Roman"/>
                <w:color w:val="000000"/>
                <w:sz w:val="28"/>
                <w:szCs w:val="28"/>
              </w:rPr>
            </w:pPr>
            <w:r>
              <w:rPr>
                <w:rFonts w:cs="Times New Roman"/>
                <w:color w:val="000000"/>
                <w:sz w:val="28"/>
                <w:szCs w:val="28"/>
              </w:rPr>
            </w:r>
          </w:p>
        </w:tc>
      </w:tr>
      <w:tr>
        <w:trPr>
          <w:trHeight w:val="304" w:hRule="atLeast"/>
        </w:trPr>
        <w:tc>
          <w:tcPr>
            <w:tcW w:w="2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rPr>
                <w:rFonts w:ascii="Times New Roman" w:hAnsi="Times New Roman" w:cs="Times New Roman"/>
                <w:color w:val="000000"/>
                <w:sz w:val="28"/>
                <w:szCs w:val="28"/>
              </w:rPr>
            </w:pPr>
            <w:r>
              <w:rPr>
                <w:rFonts w:cs="Times New Roman"/>
                <w:color w:val="000000"/>
                <w:sz w:val="28"/>
                <w:szCs w:val="28"/>
              </w:rP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tabs>
                <w:tab w:val="left" w:pos="-749" w:leader="none"/>
              </w:tabs>
              <w:snapToGrid w:val="false"/>
              <w:ind w:left="-890" w:firstLine="890"/>
              <w:jc w:val="center"/>
              <w:rPr>
                <w:rFonts w:ascii="Times New Roman" w:hAnsi="Times New Roman" w:cs="Times New Roman"/>
                <w:color w:val="000000"/>
                <w:sz w:val="28"/>
                <w:szCs w:val="28"/>
              </w:rPr>
            </w:pPr>
            <w:r>
              <w:rPr>
                <w:rFonts w:cs="Times New Roman"/>
                <w:color w:val="000000"/>
                <w:sz w:val="28"/>
                <w:szCs w:val="28"/>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tabs>
                <w:tab w:val="left" w:pos="-749" w:leader="none"/>
              </w:tabs>
              <w:snapToGrid w:val="false"/>
              <w:ind w:left="-890" w:firstLine="890"/>
              <w:jc w:val="center"/>
              <w:rPr>
                <w:rFonts w:ascii="Times New Roman" w:hAnsi="Times New Roman" w:cs="Times New Roman"/>
                <w:color w:val="000000"/>
                <w:sz w:val="28"/>
                <w:szCs w:val="28"/>
              </w:rPr>
            </w:pPr>
            <w:r>
              <w:rPr>
                <w:rFonts w:cs="Times New Roman"/>
                <w:color w:val="000000"/>
                <w:sz w:val="28"/>
                <w:szCs w:val="28"/>
              </w:rPr>
            </w:r>
          </w:p>
        </w:tc>
        <w:tc>
          <w:tcPr>
            <w:tcW w:w="9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color w:val="000000"/>
                <w:sz w:val="28"/>
                <w:szCs w:val="28"/>
                <w:lang w:val="en-US"/>
              </w:rPr>
            </w:pPr>
            <w:r>
              <w:rPr>
                <w:rFonts w:cs="Times New Roman"/>
                <w:color w:val="000000"/>
                <w:sz w:val="28"/>
                <w:szCs w:val="28"/>
                <w:lang w:val="en-US"/>
              </w:rPr>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color w:val="000000"/>
                <w:sz w:val="28"/>
                <w:szCs w:val="28"/>
                <w:lang w:val="en-US"/>
              </w:rPr>
            </w:pPr>
            <w:r>
              <w:rPr>
                <w:rFonts w:cs="Times New Roman"/>
                <w:color w:val="000000"/>
                <w:sz w:val="28"/>
                <w:szCs w:val="28"/>
                <w:lang w:val="en-US"/>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color w:val="000000"/>
                <w:sz w:val="28"/>
                <w:szCs w:val="28"/>
                <w:lang w:val="en-US"/>
              </w:rPr>
            </w:pPr>
            <w:r>
              <w:rPr>
                <w:rFonts w:cs="Times New Roman"/>
                <w:color w:val="000000"/>
                <w:sz w:val="28"/>
                <w:szCs w:val="28"/>
                <w:lang w:val="en-US"/>
              </w:rPr>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ind w:left="-1" w:right="12" w:hanging="0"/>
              <w:rPr>
                <w:rFonts w:ascii="Times New Roman" w:hAnsi="Times New Roman" w:cs="Times New Roman"/>
                <w:color w:val="000000"/>
                <w:sz w:val="28"/>
                <w:szCs w:val="28"/>
                <w:lang w:val="en-US"/>
              </w:rPr>
            </w:pPr>
            <w:r>
              <w:rPr>
                <w:rFonts w:cs="Times New Roman"/>
                <w:color w:val="000000"/>
                <w:sz w:val="28"/>
                <w:szCs w:val="28"/>
                <w:lang w:val="en-US"/>
              </w:rPr>
            </w:r>
          </w:p>
        </w:tc>
        <w:tc>
          <w:tcPr>
            <w:tcW w:w="10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rPr>
                <w:rFonts w:ascii="Times New Roman" w:hAnsi="Times New Roman" w:cs="Times New Roman"/>
                <w:color w:val="000000"/>
                <w:sz w:val="28"/>
                <w:szCs w:val="28"/>
                <w:lang w:val="en-US"/>
              </w:rPr>
            </w:pPr>
            <w:r>
              <w:rPr>
                <w:rFonts w:cs="Times New Roman"/>
                <w:color w:val="000000"/>
                <w:sz w:val="28"/>
                <w:szCs w:val="28"/>
                <w:lang w:val="en-US"/>
              </w:rPr>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tabs>
                <w:tab w:val="left" w:pos="-749" w:leader="none"/>
              </w:tabs>
              <w:snapToGrid w:val="false"/>
              <w:ind w:left="-890" w:firstLine="890"/>
              <w:jc w:val="center"/>
              <w:rPr>
                <w:rFonts w:ascii="Times New Roman" w:hAnsi="Times New Roman" w:cs="Times New Roman"/>
                <w:color w:val="000000"/>
                <w:sz w:val="28"/>
                <w:szCs w:val="28"/>
              </w:rPr>
            </w:pPr>
            <w:r>
              <w:rPr>
                <w:rFonts w:cs="Times New Roman"/>
                <w:color w:val="000000"/>
                <w:sz w:val="28"/>
                <w:szCs w:val="28"/>
              </w:rPr>
            </w:r>
          </w:p>
        </w:tc>
      </w:tr>
      <w:tr>
        <w:trPr>
          <w:trHeight w:val="341" w:hRule="atLeast"/>
        </w:trPr>
        <w:tc>
          <w:tcPr>
            <w:tcW w:w="2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rPr>
                <w:rFonts w:ascii="Times New Roman" w:hAnsi="Times New Roman" w:cs="Times New Roman"/>
                <w:i/>
                <w:i/>
                <w:color w:val="000000"/>
                <w:sz w:val="28"/>
                <w:szCs w:val="28"/>
              </w:rPr>
            </w:pPr>
            <w:r>
              <w:rPr>
                <w:rFonts w:cs="Times New Roman"/>
                <w:i/>
                <w:color w:val="000000"/>
                <w:sz w:val="28"/>
                <w:szCs w:val="28"/>
              </w:rP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i/>
                <w:i/>
                <w:color w:val="000000"/>
                <w:sz w:val="28"/>
                <w:szCs w:val="28"/>
              </w:rPr>
            </w:pPr>
            <w:r>
              <w:rPr>
                <w:rFonts w:cs="Times New Roman"/>
                <w:i/>
                <w:color w:val="000000"/>
                <w:sz w:val="28"/>
                <w:szCs w:val="28"/>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i/>
                <w:i/>
                <w:color w:val="000000"/>
                <w:sz w:val="28"/>
                <w:szCs w:val="28"/>
              </w:rPr>
            </w:pPr>
            <w:r>
              <w:rPr>
                <w:rFonts w:cs="Times New Roman"/>
                <w:i/>
                <w:color w:val="000000"/>
                <w:sz w:val="28"/>
                <w:szCs w:val="28"/>
              </w:rPr>
            </w:r>
          </w:p>
        </w:tc>
        <w:tc>
          <w:tcPr>
            <w:tcW w:w="9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i/>
                <w:i/>
                <w:sz w:val="28"/>
                <w:szCs w:val="28"/>
              </w:rPr>
            </w:pPr>
            <w:r>
              <w:rPr>
                <w:rFonts w:cs="Times New Roman"/>
                <w:i/>
                <w:sz w:val="28"/>
                <w:szCs w:val="28"/>
              </w:rPr>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i/>
                <w:i/>
                <w:sz w:val="28"/>
                <w:szCs w:val="28"/>
                <w:lang w:val="en-US"/>
              </w:rPr>
            </w:pPr>
            <w:r>
              <w:rPr>
                <w:rFonts w:cs="Times New Roman"/>
                <w:i/>
                <w:sz w:val="28"/>
                <w:szCs w:val="28"/>
                <w:lang w:val="en-US"/>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i/>
                <w:i/>
                <w:sz w:val="28"/>
                <w:szCs w:val="28"/>
                <w:lang w:val="en-US"/>
              </w:rPr>
            </w:pPr>
            <w:r>
              <w:rPr>
                <w:rFonts w:cs="Times New Roman"/>
                <w:i/>
                <w:sz w:val="28"/>
                <w:szCs w:val="28"/>
                <w:lang w:val="en-US"/>
              </w:rPr>
            </w:r>
          </w:p>
        </w:tc>
        <w:tc>
          <w:tcPr>
            <w:tcW w:w="12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ind w:left="-1" w:right="12" w:hanging="0"/>
              <w:rPr>
                <w:rFonts w:ascii="Times New Roman" w:hAnsi="Times New Roman" w:cs="Times New Roman"/>
                <w:i/>
                <w:i/>
                <w:sz w:val="28"/>
                <w:szCs w:val="28"/>
                <w:lang w:val="en-US"/>
              </w:rPr>
            </w:pPr>
            <w:r>
              <w:rPr>
                <w:rFonts w:cs="Times New Roman"/>
                <w:i/>
                <w:sz w:val="28"/>
                <w:szCs w:val="28"/>
                <w:lang w:val="en-US"/>
              </w:rPr>
            </w:r>
          </w:p>
        </w:tc>
        <w:tc>
          <w:tcPr>
            <w:tcW w:w="10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napToGrid w:val="false"/>
              <w:rPr>
                <w:rFonts w:ascii="Times New Roman" w:hAnsi="Times New Roman" w:cs="Times New Roman"/>
                <w:i/>
                <w:i/>
                <w:sz w:val="28"/>
                <w:szCs w:val="28"/>
                <w:lang w:val="en-US"/>
              </w:rPr>
            </w:pPr>
            <w:r>
              <w:rPr>
                <w:rFonts w:cs="Times New Roman"/>
                <w:i/>
                <w:sz w:val="28"/>
                <w:szCs w:val="28"/>
                <w:lang w:val="en-US"/>
              </w:rPr>
            </w:r>
          </w:p>
        </w:tc>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snapToGrid w:val="false"/>
              <w:jc w:val="center"/>
              <w:rPr>
                <w:rFonts w:ascii="Times New Roman" w:hAnsi="Times New Roman" w:cs="Times New Roman"/>
                <w:i/>
                <w:i/>
                <w:sz w:val="28"/>
                <w:szCs w:val="28"/>
              </w:rPr>
            </w:pPr>
            <w:r>
              <w:rPr>
                <w:rFonts w:cs="Times New Roman"/>
                <w:i/>
                <w:sz w:val="28"/>
                <w:szCs w:val="28"/>
              </w:rPr>
            </w:r>
          </w:p>
        </w:tc>
      </w:tr>
    </w:tbl>
    <w:p>
      <w:pPr>
        <w:pStyle w:val="Normal"/>
        <w:shd w:fill="FFFFFF" w:val="clear"/>
        <w:tabs>
          <w:tab w:val="left" w:pos="1365" w:leader="none"/>
        </w:tabs>
        <w:jc w:val="center"/>
        <w:rPr>
          <w:b/>
          <w:b/>
          <w:bCs/>
          <w:sz w:val="28"/>
          <w:szCs w:val="28"/>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alibri">
    <w:charset w:val="cc"/>
    <w:family w:val="swiss"/>
    <w:pitch w:val="variable"/>
  </w:font>
  <w:font w:name="Arial">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3633"/>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qFormat/>
    <w:rsid w:val="00692db6"/>
    <w:pPr>
      <w:keepNext w:val="true"/>
      <w:jc w:val="center"/>
      <w:outlineLvl w:val="0"/>
    </w:pPr>
    <w:rPr>
      <w:b/>
      <w:sz w:val="28"/>
      <w:szCs w:val="20"/>
    </w:rPr>
  </w:style>
  <w:style w:type="paragraph" w:styleId="2">
    <w:name w:val="Heading 2"/>
    <w:basedOn w:val="Normal"/>
    <w:link w:val="20"/>
    <w:qFormat/>
    <w:rsid w:val="00692db6"/>
    <w:pPr>
      <w:keepNext w:val="true"/>
      <w:ind w:firstLine="5670"/>
      <w:outlineLvl w:val="1"/>
    </w:pPr>
    <w:rPr>
      <w:b/>
      <w:sz w:val="28"/>
      <w:szCs w:val="20"/>
    </w:rPr>
  </w:style>
  <w:style w:type="paragraph" w:styleId="5">
    <w:name w:val="Heading 5"/>
    <w:basedOn w:val="Normal"/>
    <w:link w:val="50"/>
    <w:qFormat/>
    <w:rsid w:val="00692db6"/>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92db6"/>
    <w:rPr>
      <w:b/>
      <w:sz w:val="28"/>
    </w:rPr>
  </w:style>
  <w:style w:type="character" w:styleId="21" w:customStyle="1">
    <w:name w:val="Заголовок 2 Знак"/>
    <w:basedOn w:val="DefaultParagraphFont"/>
    <w:link w:val="2"/>
    <w:qFormat/>
    <w:rsid w:val="00692db6"/>
    <w:rPr>
      <w:b/>
      <w:sz w:val="28"/>
    </w:rPr>
  </w:style>
  <w:style w:type="character" w:styleId="51" w:customStyle="1">
    <w:name w:val="Заголовок 5 Знак"/>
    <w:basedOn w:val="DefaultParagraphFont"/>
    <w:link w:val="5"/>
    <w:qFormat/>
    <w:rsid w:val="00692db6"/>
    <w:rPr>
      <w:b/>
      <w:bCs/>
      <w:i/>
      <w:iCs/>
      <w:sz w:val="26"/>
      <w:szCs w:val="26"/>
    </w:rPr>
  </w:style>
  <w:style w:type="character" w:styleId="Style11">
    <w:name w:val="Интернет-ссылка"/>
    <w:rPr>
      <w:color w:val="000080"/>
      <w:u w:val="single"/>
      <w:lang w:val="zxx" w:eastAsia="zxx" w:bidi="zxx"/>
    </w:rPr>
  </w:style>
  <w:style w:type="character" w:styleId="WW8Num1z0">
    <w:name w:val="WW8Num1z0"/>
    <w:qFormat/>
    <w:rPr>
      <w:b/>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b/>
      <w:sz w:val="28"/>
      <w:szCs w:val="24"/>
    </w:rPr>
  </w:style>
  <w:style w:type="character" w:styleId="ListLabel2">
    <w:name w:val="ListLabel 2"/>
    <w:qFormat/>
    <w:rPr>
      <w:b/>
      <w:sz w:val="24"/>
      <w:szCs w:val="24"/>
    </w:rPr>
  </w:style>
  <w:style w:type="character" w:styleId="ListLabel3">
    <w:name w:val="ListLabel 3"/>
    <w:qFormat/>
    <w:rPr>
      <w:b/>
      <w:sz w:val="28"/>
      <w:szCs w:val="24"/>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3" w:customStyle="1">
    <w:name w:val="s_3"/>
    <w:basedOn w:val="Normal"/>
    <w:uiPriority w:val="99"/>
    <w:qFormat/>
    <w:rsid w:val="00163633"/>
    <w:pPr>
      <w:spacing w:beforeAutospacing="1" w:afterAutospacing="1"/>
    </w:pPr>
    <w:rPr/>
  </w:style>
  <w:style w:type="paragraph" w:styleId="ConsPlusNormal" w:customStyle="1">
    <w:name w:val="ConsPlusNormal"/>
    <w:uiPriority w:val="99"/>
    <w:qFormat/>
    <w:rsid w:val="00163633"/>
    <w:pPr>
      <w:widowControl/>
      <w:bidi w:val="0"/>
      <w:jc w:val="left"/>
    </w:pPr>
    <w:rPr>
      <w:rFonts w:ascii="Times New Roman" w:hAnsi="Times New Roman" w:eastAsia="Calibri" w:cs="Times New Roman"/>
      <w:color w:val="00000A"/>
      <w:kern w:val="0"/>
      <w:sz w:val="28"/>
      <w:szCs w:val="28"/>
      <w:lang w:val="ru-RU" w:eastAsia="en-US" w:bidi="ar-SA"/>
    </w:rPr>
  </w:style>
  <w:style w:type="paragraph" w:styleId="S1" w:customStyle="1">
    <w:name w:val="s_1"/>
    <w:basedOn w:val="Normal"/>
    <w:uiPriority w:val="99"/>
    <w:qFormat/>
    <w:rsid w:val="00fc6354"/>
    <w:pPr>
      <w:spacing w:beforeAutospacing="1" w:afterAutospacing="1"/>
    </w:pPr>
    <w:rPr/>
  </w:style>
  <w:style w:type="paragraph" w:styleId="ListParagraph">
    <w:name w:val="List Paragraph"/>
    <w:basedOn w:val="Normal"/>
    <w:uiPriority w:val="34"/>
    <w:qFormat/>
    <w:rsid w:val="009b5a3e"/>
    <w:pPr>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paragraph" w:styleId="Style17">
    <w:name w:val="Header"/>
    <w:basedOn w:val="Normal"/>
    <w:pPr>
      <w:tabs>
        <w:tab w:val="center" w:pos="4153" w:leader="none"/>
        <w:tab w:val="right" w:pos="8306" w:leader="none"/>
      </w:tabs>
      <w:spacing w:lineRule="auto" w:line="240" w:before="0" w:after="0"/>
    </w:pPr>
    <w:rPr>
      <w:rFonts w:ascii="Times New Roman" w:hAnsi="Times New Roman" w:eastAsia="Times New Roman" w:cs="Times New Roman"/>
      <w:sz w:val="26"/>
      <w:szCs w:val="20"/>
    </w:rPr>
  </w:style>
  <w:style w:type="paragraph" w:styleId="Style18">
    <w:name w:val="Body Text Indent"/>
    <w:basedOn w:val="Normal"/>
    <w:pPr>
      <w:spacing w:lineRule="auto" w:line="240" w:before="0" w:after="0"/>
      <w:ind w:firstLine="650"/>
      <w:jc w:val="both"/>
    </w:pPr>
    <w:rPr>
      <w:rFonts w:ascii="Times New Roman" w:hAnsi="Times New Roman" w:eastAsia="Times New Roman" w:cs="Times New Roman"/>
      <w:sz w:val="24"/>
      <w:szCs w:val="20"/>
    </w:rPr>
  </w:style>
  <w:style w:type="paragraph" w:styleId="Style19">
    <w:name w:val="Без интервала"/>
    <w:qFormat/>
    <w:pPr>
      <w:widowControl/>
      <w:suppressAutoHyphens w:val="true"/>
    </w:pPr>
    <w:rPr>
      <w:rFonts w:ascii="Calibri" w:hAnsi="Calibri" w:eastAsia="Arial" w:cs="Calibri"/>
      <w:color w:val="auto"/>
      <w:kern w:val="0"/>
      <w:sz w:val="22"/>
      <w:szCs w:val="22"/>
      <w:lang w:val="ru-RU" w:eastAsia="zh-CN" w:bidi="ar-SA"/>
    </w:rPr>
  </w:style>
  <w:style w:type="paragraph" w:styleId="ConsPlusTitle">
    <w:name w:val="ConsPlusTitle"/>
    <w:qFormat/>
    <w:pPr>
      <w:widowControl w:val="false"/>
      <w:suppressAutoHyphens w:val="true"/>
      <w:autoSpaceDE w:val="false"/>
    </w:pPr>
    <w:rPr>
      <w:rFonts w:ascii="Arial" w:hAnsi="Arial" w:eastAsia="Arial" w:cs="Arial"/>
      <w:b/>
      <w:bCs/>
      <w:color w:val="auto"/>
      <w:kern w:val="0"/>
      <w:sz w:val="20"/>
      <w:szCs w:val="20"/>
      <w:lang w:val="ru-RU" w:eastAsia="zh-CN" w:bidi="ar-SA"/>
    </w:rPr>
  </w:style>
  <w:style w:type="paragraph" w:styleId="ConsPlusNonformat">
    <w:name w:val="ConsPlusNonformat"/>
    <w:qFormat/>
    <w:pPr>
      <w:widowControl w:val="false"/>
      <w:suppressAutoHyphens w:val="true"/>
      <w:autoSpaceDE w:val="false"/>
    </w:pPr>
    <w:rPr>
      <w:rFonts w:ascii="Courier New" w:hAnsi="Courier New" w:eastAsia="Arial" w:cs="Courier New"/>
      <w:color w:val="auto"/>
      <w:kern w:val="0"/>
      <w:sz w:val="20"/>
      <w:szCs w:val="20"/>
      <w:lang w:val="ru-RU" w:eastAsia="zh-CN" w:bidi="ar-SA"/>
    </w:rPr>
  </w:style>
  <w:style w:type="paragraph" w:styleId="Oaenoaieoiaioa">
    <w:name w:val="Oaeno aieoiaioa"/>
    <w:basedOn w:val="Normal"/>
    <w:qFormat/>
    <w:pPr>
      <w:overflowPunct w:val="false"/>
      <w:autoSpaceDE w:val="false"/>
      <w:ind w:left="0" w:right="0" w:firstLine="720"/>
      <w:jc w:val="both"/>
    </w:pPr>
    <w:rPr>
      <w:sz w:val="28"/>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4A1B3-D7DB-46C1-8595-044F5F50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Application>LibreOffice/5.4.3.2$Windows_X86_64 LibreOffice_project/92a7159f7e4af62137622921e809f8546db437e5</Application>
  <Pages>10</Pages>
  <Words>1900</Words>
  <Characters>15396</Characters>
  <CharactersWithSpaces>17916</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2019-12-12T10:30:00Z</dcterms:created>
  <dc:creator>ГИС ГМП</dc:creator>
  <dc:description/>
  <dc:language>ru-RU</dc:language>
  <cp:lastModifiedBy/>
  <cp:lastPrinted>2019-12-27T17:14:51Z</cp:lastPrinted>
  <dcterms:modified xsi:type="dcterms:W3CDTF">2020-03-16T09:18:49Z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