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2" w:leader="none"/>
        </w:tabs>
        <w:jc w:val="both"/>
        <w:rPr>
          <w:sz w:val="28"/>
          <w:szCs w:val="28"/>
        </w:rPr>
      </w:pPr>
      <w:r>
        <w:rPr>
          <w:sz w:val="28"/>
          <w:szCs w:val="28"/>
        </w:rPr>
      </w:r>
    </w:p>
    <w:p>
      <w:pPr>
        <w:pStyle w:val="Normal"/>
        <w:spacing w:lineRule="auto" w:line="276" w:before="0" w:after="0"/>
        <w:contextualSpacing/>
        <w:jc w:val="center"/>
        <w:rPr>
          <w:b/>
          <w:b/>
          <w:sz w:val="28"/>
          <w:szCs w:val="28"/>
        </w:rPr>
      </w:pPr>
      <w:r>
        <w:rPr>
          <w:b/>
          <w:sz w:val="28"/>
          <w:szCs w:val="28"/>
        </w:rPr>
        <w:t>ОТЧЕТ о результатах</w:t>
      </w:r>
    </w:p>
    <w:p>
      <w:pPr>
        <w:pStyle w:val="Normal"/>
        <w:spacing w:lineRule="auto" w:line="276" w:before="0" w:after="0"/>
        <w:contextualSpacing/>
        <w:jc w:val="center"/>
        <w:rPr>
          <w:b/>
          <w:b/>
          <w:sz w:val="28"/>
          <w:szCs w:val="28"/>
        </w:rPr>
      </w:pPr>
      <w:r>
        <w:rPr>
          <w:b/>
          <w:sz w:val="28"/>
          <w:szCs w:val="28"/>
        </w:rPr>
        <w:t xml:space="preserve">оценки эффективности налоговых расходов Николаевского муниципального образования </w:t>
      </w:r>
    </w:p>
    <w:p>
      <w:pPr>
        <w:pStyle w:val="Normal"/>
        <w:spacing w:lineRule="auto" w:line="276" w:before="0" w:after="0"/>
        <w:contextualSpacing/>
        <w:jc w:val="center"/>
        <w:rPr>
          <w:b/>
          <w:b/>
          <w:sz w:val="28"/>
          <w:szCs w:val="28"/>
        </w:rPr>
      </w:pPr>
      <w:r>
        <w:rPr>
          <w:b/>
          <w:sz w:val="28"/>
          <w:szCs w:val="28"/>
        </w:rPr>
        <w:t>за 2021 год</w:t>
      </w:r>
    </w:p>
    <w:p>
      <w:pPr>
        <w:pStyle w:val="Normal"/>
        <w:jc w:val="both"/>
        <w:rPr>
          <w:color w:val="FF0000"/>
          <w:sz w:val="28"/>
          <w:szCs w:val="28"/>
        </w:rPr>
      </w:pPr>
      <w:r>
        <w:rPr>
          <w:sz w:val="28"/>
          <w:szCs w:val="28"/>
        </w:rPr>
        <w:t xml:space="preserve">         </w:t>
      </w:r>
      <w:r>
        <w:rPr>
          <w:sz w:val="28"/>
          <w:szCs w:val="28"/>
        </w:rPr>
        <w:t>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осуществления оценки налоговых расходов Николаевского муниципального образования Ивантеевского муниципального района Саратовской области,  утвержденного постановлением администрации Николаевского муниципального образования Ивантеевского муниципального района Саратовской области от 19.12.2019г. № 37.</w:t>
      </w:r>
    </w:p>
    <w:p>
      <w:pPr>
        <w:pStyle w:val="Normal"/>
        <w:jc w:val="both"/>
        <w:rPr>
          <w:sz w:val="28"/>
          <w:szCs w:val="28"/>
        </w:rPr>
      </w:pPr>
      <w:r>
        <w:rPr>
          <w:sz w:val="28"/>
          <w:szCs w:val="28"/>
        </w:rPr>
        <w:t xml:space="preserve">          </w:t>
      </w:r>
      <w:r>
        <w:rPr>
          <w:sz w:val="28"/>
          <w:szCs w:val="28"/>
        </w:rPr>
        <w:t>В соответствии с Порядком сформирован реестр налоговых расходов Николаевского муниципального образования, действовавших в 2021 году.</w:t>
      </w:r>
    </w:p>
    <w:p>
      <w:pPr>
        <w:pStyle w:val="Normal"/>
        <w:jc w:val="both"/>
        <w:rPr>
          <w:sz w:val="28"/>
          <w:szCs w:val="28"/>
        </w:rPr>
      </w:pPr>
      <w:r>
        <w:rPr>
          <w:sz w:val="28"/>
          <w:szCs w:val="28"/>
        </w:rPr>
        <w:tab/>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Pr>
          <w:rFonts w:ascii="Calibri" w:hAnsi="Calibri"/>
          <w:sz w:val="28"/>
          <w:szCs w:val="28"/>
        </w:rPr>
        <w:t xml:space="preserve"> </w:t>
      </w:r>
      <w:r>
        <w:rPr>
          <w:sz w:val="28"/>
          <w:szCs w:val="28"/>
        </w:rPr>
        <w:t xml:space="preserve">за 2017г.-2021г. представленных ИФНС России по Саратовской области. </w:t>
      </w:r>
    </w:p>
    <w:p>
      <w:pPr>
        <w:pStyle w:val="Normal"/>
        <w:jc w:val="both"/>
        <w:rPr>
          <w:sz w:val="28"/>
          <w:szCs w:val="28"/>
        </w:rPr>
      </w:pPr>
      <w:r>
        <w:rPr>
          <w:sz w:val="28"/>
          <w:szCs w:val="28"/>
        </w:rPr>
        <w:t xml:space="preserve">        </w:t>
      </w:r>
      <w:r>
        <w:rPr>
          <w:sz w:val="28"/>
          <w:szCs w:val="28"/>
        </w:rPr>
        <w:t xml:space="preserve">Согласно статье 61.5 Бюджетного кодекса в бюджеты </w:t>
      </w:r>
      <w:r>
        <w:rPr>
          <w:bCs/>
          <w:sz w:val="28"/>
          <w:szCs w:val="28"/>
        </w:rPr>
        <w:t xml:space="preserve">сельских поселений </w:t>
      </w:r>
      <w:r>
        <w:rPr>
          <w:sz w:val="28"/>
          <w:szCs w:val="28"/>
        </w:rPr>
        <w:t>зачисляются налоговые</w:t>
      </w:r>
      <w:r>
        <w:rPr>
          <w:sz w:val="22"/>
          <w:szCs w:val="22"/>
        </w:rPr>
        <w:t xml:space="preserve"> </w:t>
      </w:r>
      <w:r>
        <w:rPr>
          <w:sz w:val="28"/>
          <w:szCs w:val="28"/>
        </w:rPr>
        <w:t>доходы от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pPr>
        <w:pStyle w:val="Normal"/>
        <w:jc w:val="both"/>
        <w:rPr>
          <w:sz w:val="28"/>
          <w:szCs w:val="28"/>
        </w:rPr>
      </w:pPr>
      <w:r>
        <w:rPr>
          <w:sz w:val="28"/>
          <w:szCs w:val="28"/>
        </w:rPr>
        <w:t>1) земельный налог – по нормативу 100 процентов;</w:t>
      </w:r>
    </w:p>
    <w:p>
      <w:pPr>
        <w:pStyle w:val="Normal"/>
        <w:jc w:val="both"/>
        <w:rPr>
          <w:sz w:val="28"/>
          <w:szCs w:val="28"/>
        </w:rPr>
      </w:pPr>
      <w:r>
        <w:rPr>
          <w:sz w:val="28"/>
          <w:szCs w:val="28"/>
        </w:rPr>
        <w:t>2) налог на имущество физических лиц – по нормативу 100 процентов.</w:t>
      </w:r>
    </w:p>
    <w:p>
      <w:pPr>
        <w:pStyle w:val="Default"/>
        <w:rPr>
          <w:sz w:val="28"/>
          <w:szCs w:val="28"/>
        </w:rPr>
      </w:pPr>
      <w:r>
        <w:rPr>
          <w:sz w:val="28"/>
          <w:szCs w:val="28"/>
        </w:rPr>
        <w:t xml:space="preserve">        </w:t>
      </w:r>
      <w:r>
        <w:rPr>
          <w:sz w:val="28"/>
          <w:szCs w:val="28"/>
        </w:rPr>
        <w:t>Общий объем недополученных доходов местного бюджета в связи с предоставлением налоговых льгот по местным налогам в 2021 году составил 104,0 тыс. рублей. В том числе: по земельному налогу 104,0 тыс. рублей, по налогу на имущество физических лиц – 0,0 тыс. рублей.</w:t>
      </w:r>
    </w:p>
    <w:p>
      <w:pPr>
        <w:pStyle w:val="Normal"/>
        <w:jc w:val="both"/>
        <w:rPr>
          <w:sz w:val="28"/>
          <w:szCs w:val="28"/>
        </w:rPr>
      </w:pPr>
      <w:r>
        <w:rPr>
          <w:sz w:val="28"/>
          <w:szCs w:val="28"/>
        </w:rPr>
        <w:t xml:space="preserve">        </w:t>
      </w:r>
      <w:r>
        <w:rPr>
          <w:b/>
          <w:bCs/>
          <w:sz w:val="28"/>
          <w:szCs w:val="28"/>
        </w:rPr>
        <w:t>1. Оценка эффективности предоставленных льгот по налогу на имущество физических лиц</w:t>
      </w:r>
    </w:p>
    <w:p>
      <w:pPr>
        <w:pStyle w:val="NormalWeb"/>
        <w:spacing w:beforeAutospacing="0" w:before="0" w:afterAutospacing="0" w:after="0"/>
        <w:jc w:val="both"/>
        <w:rPr>
          <w:sz w:val="28"/>
          <w:szCs w:val="28"/>
        </w:rPr>
      </w:pPr>
      <w:r>
        <w:rPr>
          <w:sz w:val="28"/>
          <w:szCs w:val="28"/>
        </w:rPr>
        <w:t xml:space="preserve">       </w:t>
      </w:r>
      <w:r>
        <w:rPr>
          <w:sz w:val="28"/>
          <w:szCs w:val="28"/>
        </w:rPr>
        <w:t>Сумма налога на имущество физических лиц, поступившая в бюджет  в 2021 году составила 75,4 тыс. рублей. Налог на имущество физических лиц установлен решением  Совета Николаевского муниципального образования от 17.11.2017 № 20 «Об установлении  налога на имущество физических лиц».</w:t>
      </w:r>
    </w:p>
    <w:p>
      <w:pPr>
        <w:pStyle w:val="Normal"/>
        <w:jc w:val="both"/>
        <w:rPr>
          <w:sz w:val="28"/>
          <w:szCs w:val="28"/>
        </w:rPr>
      </w:pPr>
      <w:r>
        <w:rPr>
          <w:sz w:val="28"/>
          <w:szCs w:val="28"/>
        </w:rPr>
        <w:t xml:space="preserve">       </w:t>
      </w:r>
      <w:r>
        <w:rPr>
          <w:sz w:val="28"/>
          <w:szCs w:val="28"/>
        </w:rPr>
        <w:t xml:space="preserve">По отчету 5-МН льготы по налогу на имущество физических лиц за отчетный период предоставлены в сумме 0,0 тыс. рублей. </w:t>
      </w:r>
    </w:p>
    <w:p>
      <w:pPr>
        <w:pStyle w:val="Normal"/>
        <w:jc w:val="both"/>
        <w:rPr>
          <w:sz w:val="28"/>
          <w:szCs w:val="28"/>
        </w:rPr>
      </w:pPr>
      <w:r>
        <w:rPr>
          <w:sz w:val="28"/>
          <w:szCs w:val="28"/>
        </w:rPr>
        <w:t xml:space="preserve">      </w:t>
      </w:r>
      <w:r>
        <w:rPr>
          <w:sz w:val="28"/>
          <w:szCs w:val="28"/>
        </w:rPr>
        <w:t>Освобождены от уплаты налога на имущество физических лиц:</w:t>
      </w:r>
    </w:p>
    <w:p>
      <w:pPr>
        <w:pStyle w:val="Normal"/>
        <w:jc w:val="both"/>
        <w:rPr>
          <w:sz w:val="28"/>
          <w:szCs w:val="28"/>
        </w:rPr>
      </w:pPr>
      <w:r>
        <w:rPr>
          <w:sz w:val="28"/>
          <w:szCs w:val="28"/>
        </w:rPr>
        <w:t>- почетный житель Николаевского муниципального образования;</w:t>
      </w:r>
    </w:p>
    <w:p>
      <w:pPr>
        <w:pStyle w:val="Normal"/>
        <w:jc w:val="both"/>
        <w:rPr>
          <w:sz w:val="28"/>
          <w:szCs w:val="28"/>
        </w:rPr>
      </w:pPr>
      <w:r>
        <w:rPr>
          <w:sz w:val="28"/>
          <w:szCs w:val="28"/>
        </w:rPr>
        <w:t>- дети-сироты;</w:t>
      </w:r>
    </w:p>
    <w:p>
      <w:pPr>
        <w:pStyle w:val="Normal"/>
        <w:jc w:val="both"/>
        <w:rPr>
          <w:sz w:val="28"/>
          <w:szCs w:val="28"/>
        </w:rPr>
      </w:pPr>
      <w:r>
        <w:rPr>
          <w:sz w:val="28"/>
          <w:szCs w:val="28"/>
        </w:rPr>
        <w:t>- родители в семьях отнесенных законодательством к многодетным в отношении одного объекта налогообложения.</w:t>
      </w:r>
    </w:p>
    <w:p>
      <w:pPr>
        <w:pStyle w:val="NormalWeb"/>
        <w:spacing w:beforeAutospacing="0" w:before="0" w:afterAutospacing="0" w:after="0"/>
        <w:jc w:val="both"/>
        <w:rPr>
          <w:sz w:val="28"/>
          <w:szCs w:val="28"/>
        </w:rPr>
      </w:pPr>
      <w:r>
        <w:rPr>
          <w:sz w:val="28"/>
          <w:szCs w:val="28"/>
        </w:rPr>
        <w:t xml:space="preserve">      </w:t>
      </w:r>
      <w:r>
        <w:rPr>
          <w:sz w:val="28"/>
          <w:szCs w:val="28"/>
        </w:rPr>
        <w:t>Льготы по налогу предоставляются трем социально-незащищенным категориям населения, и имеют исключительно социальную направленность, как улучшающие условия жизнедеятельности.</w:t>
      </w:r>
    </w:p>
    <w:p>
      <w:pPr>
        <w:pStyle w:val="NormalWeb"/>
        <w:spacing w:beforeAutospacing="0" w:before="0" w:afterAutospacing="0" w:after="0"/>
        <w:jc w:val="both"/>
        <w:rPr>
          <w:sz w:val="28"/>
          <w:szCs w:val="28"/>
        </w:rPr>
      </w:pPr>
      <w:r>
        <w:rPr>
          <w:sz w:val="28"/>
          <w:szCs w:val="28"/>
        </w:rPr>
      </w:r>
    </w:p>
    <w:p>
      <w:pPr>
        <w:pStyle w:val="Normal"/>
        <w:jc w:val="center"/>
        <w:rPr>
          <w:b/>
          <w:b/>
          <w:sz w:val="28"/>
          <w:szCs w:val="28"/>
        </w:rPr>
      </w:pPr>
      <w:r>
        <w:rPr>
          <w:b/>
          <w:sz w:val="28"/>
          <w:szCs w:val="28"/>
        </w:rPr>
        <w:t>Информация о социальных налоговых расходах за 2017г.-2021г.</w:t>
      </w:r>
    </w:p>
    <w:tbl>
      <w:tblPr>
        <w:tblStyle w:val="a6"/>
        <w:tblW w:w="9571" w:type="dxa"/>
        <w:jc w:val="left"/>
        <w:tblInd w:w="0" w:type="dxa"/>
        <w:tblCellMar>
          <w:top w:w="0" w:type="dxa"/>
          <w:left w:w="103" w:type="dxa"/>
          <w:bottom w:w="0" w:type="dxa"/>
          <w:right w:w="108" w:type="dxa"/>
        </w:tblCellMar>
        <w:tblLook w:val="04a0"/>
      </w:tblPr>
      <w:tblGrid>
        <w:gridCol w:w="579"/>
        <w:gridCol w:w="2962"/>
        <w:gridCol w:w="1"/>
        <w:gridCol w:w="961"/>
        <w:gridCol w:w="1"/>
        <w:gridCol w:w="849"/>
        <w:gridCol w:w="1"/>
        <w:gridCol w:w="848"/>
        <w:gridCol w:w="1"/>
        <w:gridCol w:w="993"/>
        <w:gridCol w:w="1"/>
        <w:gridCol w:w="931"/>
        <w:gridCol w:w="1"/>
        <w:gridCol w:w="1"/>
        <w:gridCol w:w="1439"/>
      </w:tblGrid>
      <w:tr>
        <w:trPr>
          <w:trHeight w:val="175" w:hRule="atLeast"/>
        </w:trPr>
        <w:tc>
          <w:tcPr>
            <w:tcW w:w="57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 xml:space="preserve">№ </w:t>
            </w:r>
            <w:r>
              <w:rPr>
                <w:rFonts w:eastAsia="Calibri" w:cs="Times New Roman" w:ascii="Calibri" w:hAnsi="Calibri" w:eastAsiaTheme="minorHAnsi"/>
                <w:sz w:val="22"/>
                <w:szCs w:val="22"/>
                <w:lang w:eastAsia="en-US"/>
              </w:rPr>
              <w:t>п/п</w:t>
            </w:r>
          </w:p>
        </w:tc>
        <w:tc>
          <w:tcPr>
            <w:tcW w:w="2963" w:type="dxa"/>
            <w:gridSpan w:val="2"/>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Фискальные характеристики налоговых расходов</w:t>
            </w:r>
          </w:p>
        </w:tc>
        <w:tc>
          <w:tcPr>
            <w:tcW w:w="4588" w:type="dxa"/>
            <w:gridSpan w:val="11"/>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Значение показателя</w:t>
            </w:r>
          </w:p>
        </w:tc>
        <w:tc>
          <w:tcPr>
            <w:tcW w:w="143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Темп роста (снижения) 2021 года к 2020 году, %</w:t>
            </w:r>
          </w:p>
        </w:tc>
      </w:tr>
      <w:tr>
        <w:trPr>
          <w:trHeight w:val="562" w:hRule="atLeast"/>
        </w:trPr>
        <w:tc>
          <w:tcPr>
            <w:tcW w:w="579" w:type="dxa"/>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2963"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2017 год</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2018 год</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2019 год</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2020 год</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2021 год</w:t>
            </w:r>
          </w:p>
        </w:tc>
        <w:tc>
          <w:tcPr>
            <w:tcW w:w="1440"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1</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налоговых расходов в результате освобождения от налогообложения тыс. руб.</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2</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выпадающих доходов бюджета в результате применения налоговой льготы по  налогу на имущество физ.лиц, тыс. руб.</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 xml:space="preserve">3 </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Численность налогоплательщиков, воспользовавшихся льготой, ед.</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Общее количество налогоплательщиков, чел.</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428</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420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425</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424</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433</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102,1</w:t>
            </w:r>
          </w:p>
        </w:tc>
      </w:tr>
      <w:tr>
        <w:trPr>
          <w:trHeight w:val="380" w:hRule="atLeast"/>
        </w:trPr>
        <w:tc>
          <w:tcPr>
            <w:tcW w:w="3541" w:type="dxa"/>
            <w:gridSpan w:val="2"/>
            <w:tcBorders/>
            <w:shd w:fill="auto" w:val="clear"/>
            <w:tcMar>
              <w:left w:w="103" w:type="dxa"/>
            </w:tcMar>
          </w:tcPr>
          <w:p>
            <w:pPr>
              <w:pStyle w:val="Normal"/>
              <w:jc w:val="both"/>
              <w:rPr>
                <w:rFonts w:ascii="Times New Roman" w:hAnsi="Times New Roman" w:cs="Times New Roman"/>
              </w:rPr>
            </w:pPr>
            <w:r>
              <w:rPr>
                <w:rFonts w:eastAsia="Calibri" w:cs="" w:ascii="Calibri" w:hAnsi="Calibri" w:cstheme="minorBidi" w:eastAsiaTheme="minorHAnsi"/>
                <w:b/>
                <w:sz w:val="22"/>
                <w:szCs w:val="22"/>
                <w:lang w:eastAsia="en-US"/>
              </w:rPr>
              <w:t>Востребованность</w:t>
            </w:r>
            <w:r>
              <w:rPr>
                <w:rFonts w:eastAsia="Calibri" w:cs="" w:ascii="Calibri" w:hAnsi="Calibri" w:cstheme="minorBidi" w:eastAsiaTheme="minorHAnsi"/>
                <w:sz w:val="22"/>
                <w:szCs w:val="22"/>
                <w:lang w:eastAsia="en-US"/>
              </w:rPr>
              <w:t xml:space="preserve"> </w:t>
            </w:r>
            <w:r>
              <w:rPr>
                <w:rFonts w:eastAsia="Calibri" w:cs="" w:ascii="Calibri" w:hAnsi="Calibri" w:cstheme="minorBidi" w:eastAsiaTheme="minorHAnsi"/>
                <w:bCs/>
                <w:iCs/>
                <w:sz w:val="22"/>
                <w:szCs w:val="22"/>
                <w:lang w:eastAsia="en-US"/>
              </w:rPr>
              <w:t>(соотношение численности плательщиков, воспользовавшихся правом на льготы к общей численности плательщиков)</w:t>
            </w:r>
            <w:r>
              <w:rPr>
                <w:rFonts w:eastAsia="Calibri" w:cs="" w:ascii="Calibri" w:hAnsi="Calibri" w:cstheme="minorBidi" w:eastAsiaTheme="minorHAnsi"/>
                <w:sz w:val="22"/>
                <w:szCs w:val="22"/>
                <w:lang w:eastAsia="en-US"/>
              </w:rPr>
              <w:t>, %</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1" w:type="dxa"/>
            <w:gridSpan w:val="3"/>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bl>
    <w:p>
      <w:pPr>
        <w:pStyle w:val="NormalWeb"/>
        <w:spacing w:beforeAutospacing="0" w:before="0" w:afterAutospacing="0" w:after="0"/>
        <w:jc w:val="both"/>
        <w:rPr>
          <w:color w:val="000000" w:themeColor="text1"/>
          <w:sz w:val="28"/>
          <w:szCs w:val="28"/>
        </w:rPr>
      </w:pPr>
      <w:r>
        <w:rPr>
          <w:color w:val="000000" w:themeColor="text1"/>
          <w:sz w:val="28"/>
          <w:szCs w:val="28"/>
        </w:rPr>
      </w:r>
    </w:p>
    <w:p>
      <w:pPr>
        <w:pStyle w:val="Normal"/>
        <w:jc w:val="both"/>
        <w:rPr>
          <w:sz w:val="28"/>
          <w:szCs w:val="28"/>
        </w:rPr>
      </w:pPr>
      <w:r>
        <w:rPr>
          <w:sz w:val="28"/>
          <w:szCs w:val="28"/>
        </w:rPr>
        <w:t xml:space="preserve">      </w:t>
      </w:r>
      <w:r>
        <w:rPr>
          <w:sz w:val="28"/>
          <w:szCs w:val="28"/>
        </w:rPr>
        <w:t xml:space="preserve">Действие </w:t>
      </w:r>
      <w:r>
        <w:rPr>
          <w:bCs/>
          <w:sz w:val="28"/>
          <w:szCs w:val="28"/>
        </w:rPr>
        <w:t>социального налогового расхода</w:t>
      </w:r>
      <w:r>
        <w:rPr>
          <w:b/>
          <w:bCs/>
          <w:sz w:val="28"/>
          <w:szCs w:val="28"/>
        </w:rPr>
        <w:t xml:space="preserve"> </w:t>
      </w:r>
      <w:r>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pPr>
        <w:pStyle w:val="Normal"/>
        <w:jc w:val="both"/>
        <w:rPr>
          <w:sz w:val="28"/>
          <w:szCs w:val="28"/>
        </w:rPr>
      </w:pPr>
      <w:r>
        <w:rPr>
          <w:sz w:val="28"/>
          <w:szCs w:val="28"/>
        </w:rPr>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pPr>
        <w:pStyle w:val="Normal"/>
        <w:jc w:val="both"/>
        <w:rPr>
          <w:b/>
          <w:b/>
          <w:bCs/>
          <w:sz w:val="28"/>
          <w:szCs w:val="28"/>
        </w:rPr>
      </w:pPr>
      <w:r>
        <w:rPr>
          <w:sz w:val="28"/>
          <w:szCs w:val="28"/>
        </w:rPr>
        <w:tab/>
      </w:r>
      <w:r>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Pr>
          <w:sz w:val="28"/>
          <w:szCs w:val="28"/>
        </w:rPr>
        <w:t xml:space="preserve"> </w:t>
      </w:r>
      <w:r>
        <w:rPr>
          <w:b/>
          <w:sz w:val="28"/>
          <w:szCs w:val="28"/>
        </w:rPr>
        <w:t>и не требующим отмены.</w:t>
      </w:r>
      <w:r>
        <w:rPr>
          <w:b/>
          <w:bCs/>
          <w:sz w:val="28"/>
          <w:szCs w:val="28"/>
        </w:rPr>
        <w:t xml:space="preserve"> </w:t>
      </w:r>
    </w:p>
    <w:p>
      <w:pPr>
        <w:pStyle w:val="NormalWeb"/>
        <w:spacing w:beforeAutospacing="0" w:before="0" w:afterAutospacing="0" w:after="0"/>
        <w:jc w:val="both"/>
        <w:rPr>
          <w:sz w:val="28"/>
          <w:szCs w:val="28"/>
        </w:rPr>
      </w:pPr>
      <w:r>
        <w:rPr>
          <w:sz w:val="28"/>
          <w:szCs w:val="28"/>
        </w:rPr>
      </w:r>
    </w:p>
    <w:p>
      <w:pPr>
        <w:pStyle w:val="Normal"/>
        <w:spacing w:lineRule="auto" w:line="276" w:before="0" w:after="0"/>
        <w:contextualSpacing/>
        <w:jc w:val="center"/>
        <w:rPr>
          <w:b/>
          <w:b/>
          <w:bCs/>
          <w:sz w:val="28"/>
          <w:szCs w:val="28"/>
        </w:rPr>
      </w:pPr>
      <w:r>
        <w:rPr>
          <w:b/>
          <w:bCs/>
          <w:sz w:val="28"/>
          <w:szCs w:val="28"/>
        </w:rPr>
        <w:t>2.Оценка эффективности предоставленных льгот по земельному налогу.</w:t>
      </w:r>
    </w:p>
    <w:p>
      <w:pPr>
        <w:pStyle w:val="Normal"/>
        <w:spacing w:lineRule="auto" w:line="276" w:before="0" w:after="0"/>
        <w:contextualSpacing/>
        <w:jc w:val="center"/>
        <w:rPr>
          <w:b/>
          <w:b/>
          <w:bCs/>
          <w:sz w:val="28"/>
          <w:szCs w:val="28"/>
        </w:rPr>
      </w:pPr>
      <w:r>
        <w:rPr>
          <w:b/>
          <w:bCs/>
          <w:sz w:val="28"/>
          <w:szCs w:val="28"/>
        </w:rPr>
      </w:r>
    </w:p>
    <w:p>
      <w:pPr>
        <w:pStyle w:val="Normal"/>
        <w:jc w:val="center"/>
        <w:rPr>
          <w:b/>
          <w:b/>
          <w:sz w:val="28"/>
          <w:szCs w:val="28"/>
        </w:rPr>
      </w:pPr>
      <w:r>
        <w:rPr>
          <w:b/>
          <w:sz w:val="28"/>
          <w:szCs w:val="28"/>
        </w:rPr>
        <w:t>Структура налоговых расходов за период 2017-2021 годов</w:t>
      </w:r>
    </w:p>
    <w:p>
      <w:pPr>
        <w:pStyle w:val="Normal"/>
        <w:jc w:val="center"/>
        <w:rPr/>
      </w:pPr>
      <w:r>
        <w:rPr/>
      </w:r>
    </w:p>
    <w:tbl>
      <w:tblPr>
        <w:tblStyle w:val="a6"/>
        <w:tblW w:w="10207" w:type="dxa"/>
        <w:jc w:val="left"/>
        <w:tblInd w:w="-318" w:type="dxa"/>
        <w:tblCellMar>
          <w:top w:w="0" w:type="dxa"/>
          <w:left w:w="103" w:type="dxa"/>
          <w:bottom w:w="0" w:type="dxa"/>
          <w:right w:w="108" w:type="dxa"/>
        </w:tblCellMar>
        <w:tblLook w:val="04a0"/>
      </w:tblPr>
      <w:tblGrid>
        <w:gridCol w:w="2115"/>
        <w:gridCol w:w="719"/>
        <w:gridCol w:w="851"/>
        <w:gridCol w:w="710"/>
        <w:gridCol w:w="851"/>
        <w:gridCol w:w="708"/>
        <w:gridCol w:w="1"/>
        <w:gridCol w:w="852"/>
        <w:gridCol w:w="851"/>
        <w:gridCol w:w="850"/>
        <w:gridCol w:w="851"/>
        <w:gridCol w:w="846"/>
      </w:tblGrid>
      <w:tr>
        <w:trPr>
          <w:trHeight w:val="473" w:hRule="atLeast"/>
        </w:trPr>
        <w:tc>
          <w:tcPr>
            <w:tcW w:w="2115" w:type="dxa"/>
            <w:vMerge w:val="restart"/>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Целевая категория налогового расхода</w:t>
            </w:r>
          </w:p>
        </w:tc>
        <w:tc>
          <w:tcPr>
            <w:tcW w:w="3839" w:type="dxa"/>
            <w:gridSpan w:val="5"/>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Объем налоговых льгот предоставленных плательщиками налогов (тыс.руб.)</w:t>
            </w:r>
          </w:p>
        </w:tc>
        <w:tc>
          <w:tcPr>
            <w:tcW w:w="4251" w:type="dxa"/>
            <w:gridSpan w:val="6"/>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Количество плательщиков налогов, воспользовавшихся льготой (чел.)</w:t>
            </w:r>
          </w:p>
        </w:tc>
      </w:tr>
      <w:tr>
        <w:trPr>
          <w:trHeight w:val="147" w:hRule="atLeast"/>
        </w:trPr>
        <w:tc>
          <w:tcPr>
            <w:tcW w:w="2115" w:type="dxa"/>
            <w:vMerge w:val="continue"/>
            <w:tcBorders/>
            <w:shd w:fill="auto" w:val="clear"/>
            <w:tcMar>
              <w:left w:w="103" w:type="dxa"/>
            </w:tcMar>
          </w:tcPr>
          <w:p>
            <w:pPr>
              <w:pStyle w:val="Normal"/>
              <w:jc w:val="center"/>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719"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2017</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2018</w:t>
            </w:r>
          </w:p>
        </w:tc>
        <w:tc>
          <w:tcPr>
            <w:tcW w:w="710"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2019</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2020</w:t>
            </w:r>
          </w:p>
        </w:tc>
        <w:tc>
          <w:tcPr>
            <w:tcW w:w="709" w:type="dxa"/>
            <w:gridSpan w:val="2"/>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2021</w:t>
            </w:r>
          </w:p>
        </w:tc>
        <w:tc>
          <w:tcPr>
            <w:tcW w:w="852"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2017</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2018</w:t>
            </w:r>
          </w:p>
        </w:tc>
        <w:tc>
          <w:tcPr>
            <w:tcW w:w="850"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2019</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2020</w:t>
            </w:r>
          </w:p>
        </w:tc>
        <w:tc>
          <w:tcPr>
            <w:tcW w:w="846"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2021</w:t>
            </w:r>
          </w:p>
        </w:tc>
      </w:tr>
      <w:tr>
        <w:trPr>
          <w:trHeight w:val="458" w:hRule="atLeast"/>
        </w:trPr>
        <w:tc>
          <w:tcPr>
            <w:tcW w:w="2115"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Социальный налоговые расходы</w:t>
            </w:r>
          </w:p>
        </w:tc>
        <w:tc>
          <w:tcPr>
            <w:tcW w:w="719"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1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09" w:type="dxa"/>
            <w:gridSpan w:val="2"/>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2"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46"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r>
      <w:tr>
        <w:trPr>
          <w:trHeight w:val="229" w:hRule="atLeast"/>
        </w:trPr>
        <w:tc>
          <w:tcPr>
            <w:tcW w:w="2115"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доля, %</w:t>
            </w:r>
          </w:p>
        </w:tc>
        <w:tc>
          <w:tcPr>
            <w:tcW w:w="719"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1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09" w:type="dxa"/>
            <w:gridSpan w:val="2"/>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2"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46"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r>
      <w:tr>
        <w:trPr>
          <w:trHeight w:val="473" w:hRule="atLeast"/>
        </w:trPr>
        <w:tc>
          <w:tcPr>
            <w:tcW w:w="2115"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Стимулирующие налоговые расходы</w:t>
            </w:r>
          </w:p>
        </w:tc>
        <w:tc>
          <w:tcPr>
            <w:tcW w:w="719"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1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09" w:type="dxa"/>
            <w:gridSpan w:val="2"/>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2"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46"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r>
      <w:tr>
        <w:trPr>
          <w:trHeight w:val="229" w:hRule="atLeast"/>
        </w:trPr>
        <w:tc>
          <w:tcPr>
            <w:tcW w:w="2115"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доля, %</w:t>
            </w:r>
          </w:p>
        </w:tc>
        <w:tc>
          <w:tcPr>
            <w:tcW w:w="719"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1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709" w:type="dxa"/>
            <w:gridSpan w:val="2"/>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2"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0"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c>
          <w:tcPr>
            <w:tcW w:w="846" w:type="dxa"/>
            <w:tcBorders/>
            <w:shd w:fill="auto" w:val="clear"/>
            <w:tcMar>
              <w:left w:w="103" w:type="dxa"/>
            </w:tcMar>
          </w:tcPr>
          <w:p>
            <w:pPr>
              <w:pStyle w:val="Normal"/>
              <w:jc w:val="center"/>
              <w:rPr>
                <w:rFonts w:eastAsia="Calibri" w:cs="" w:cstheme="minorBidi" w:eastAsiaTheme="minorHAnsi"/>
                <w:lang w:eastAsia="en-US"/>
              </w:rPr>
            </w:pPr>
            <w:r>
              <w:rPr>
                <w:rFonts w:eastAsia="Calibri" w:cs="Times New Roman" w:ascii="Calibri" w:hAnsi="Calibri" w:eastAsiaTheme="minorHAnsi"/>
                <w:sz w:val="20"/>
                <w:szCs w:val="20"/>
                <w:lang w:eastAsia="en-US"/>
              </w:rPr>
              <w:t>0</w:t>
            </w:r>
          </w:p>
        </w:tc>
      </w:tr>
      <w:tr>
        <w:trPr>
          <w:trHeight w:val="473" w:hRule="atLeast"/>
        </w:trPr>
        <w:tc>
          <w:tcPr>
            <w:tcW w:w="2115"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Технические налоговые расходы</w:t>
            </w:r>
          </w:p>
        </w:tc>
        <w:tc>
          <w:tcPr>
            <w:tcW w:w="719"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261,0</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710"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104,0</w:t>
            </w:r>
          </w:p>
        </w:tc>
        <w:tc>
          <w:tcPr>
            <w:tcW w:w="709" w:type="dxa"/>
            <w:gridSpan w:val="2"/>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104,0</w:t>
            </w:r>
          </w:p>
        </w:tc>
        <w:tc>
          <w:tcPr>
            <w:tcW w:w="852"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0"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4</w:t>
            </w:r>
          </w:p>
        </w:tc>
        <w:tc>
          <w:tcPr>
            <w:tcW w:w="846"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2</w:t>
            </w:r>
          </w:p>
        </w:tc>
      </w:tr>
      <w:tr>
        <w:trPr>
          <w:trHeight w:val="229" w:hRule="atLeast"/>
        </w:trPr>
        <w:tc>
          <w:tcPr>
            <w:tcW w:w="2115"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доля, %</w:t>
            </w:r>
          </w:p>
        </w:tc>
        <w:tc>
          <w:tcPr>
            <w:tcW w:w="719"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100</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710"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100</w:t>
            </w:r>
          </w:p>
        </w:tc>
        <w:tc>
          <w:tcPr>
            <w:tcW w:w="709" w:type="dxa"/>
            <w:gridSpan w:val="2"/>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100</w:t>
            </w:r>
          </w:p>
        </w:tc>
        <w:tc>
          <w:tcPr>
            <w:tcW w:w="852"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100</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0"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0</w:t>
            </w:r>
          </w:p>
        </w:tc>
        <w:tc>
          <w:tcPr>
            <w:tcW w:w="851"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100</w:t>
            </w:r>
          </w:p>
        </w:tc>
        <w:tc>
          <w:tcPr>
            <w:tcW w:w="846" w:type="dxa"/>
            <w:tcBorders/>
            <w:shd w:fill="auto" w:val="clear"/>
            <w:tcMar>
              <w:left w:w="103" w:type="dxa"/>
            </w:tcMar>
          </w:tcPr>
          <w:p>
            <w:pPr>
              <w:pStyle w:val="Normal"/>
              <w:jc w:val="center"/>
              <w:rPr>
                <w:rFonts w:ascii="Times New Roman" w:hAnsi="Times New Roman" w:cs="Times New Roman"/>
                <w:sz w:val="20"/>
                <w:szCs w:val="20"/>
              </w:rPr>
            </w:pPr>
            <w:r>
              <w:rPr>
                <w:rFonts w:eastAsia="Calibri" w:cs="Times New Roman" w:ascii="Calibri" w:hAnsi="Calibri" w:eastAsiaTheme="minorHAnsi"/>
                <w:sz w:val="20"/>
                <w:szCs w:val="20"/>
                <w:lang w:eastAsia="en-US"/>
              </w:rPr>
              <w:t>100</w:t>
            </w:r>
          </w:p>
        </w:tc>
      </w:tr>
      <w:tr>
        <w:trPr>
          <w:trHeight w:val="229" w:hRule="atLeast"/>
        </w:trPr>
        <w:tc>
          <w:tcPr>
            <w:tcW w:w="2115"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Итого</w:t>
            </w:r>
          </w:p>
        </w:tc>
        <w:tc>
          <w:tcPr>
            <w:tcW w:w="719"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261,0</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0</w:t>
            </w:r>
          </w:p>
        </w:tc>
        <w:tc>
          <w:tcPr>
            <w:tcW w:w="710"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0</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104,0</w:t>
            </w:r>
          </w:p>
        </w:tc>
        <w:tc>
          <w:tcPr>
            <w:tcW w:w="709" w:type="dxa"/>
            <w:gridSpan w:val="2"/>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104,0</w:t>
            </w:r>
          </w:p>
        </w:tc>
        <w:tc>
          <w:tcPr>
            <w:tcW w:w="852"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2</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0</w:t>
            </w:r>
          </w:p>
        </w:tc>
        <w:tc>
          <w:tcPr>
            <w:tcW w:w="850"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0</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4</w:t>
            </w:r>
          </w:p>
        </w:tc>
        <w:tc>
          <w:tcPr>
            <w:tcW w:w="846"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2</w:t>
            </w:r>
          </w:p>
        </w:tc>
      </w:tr>
      <w:tr>
        <w:trPr>
          <w:trHeight w:val="244" w:hRule="atLeast"/>
        </w:trPr>
        <w:tc>
          <w:tcPr>
            <w:tcW w:w="2115"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доля, %</w:t>
            </w:r>
          </w:p>
        </w:tc>
        <w:tc>
          <w:tcPr>
            <w:tcW w:w="719"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710"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709" w:type="dxa"/>
            <w:gridSpan w:val="2"/>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852"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850"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851"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c>
          <w:tcPr>
            <w:tcW w:w="846" w:type="dxa"/>
            <w:tcBorders/>
            <w:shd w:fill="auto" w:val="clear"/>
            <w:tcMar>
              <w:left w:w="103" w:type="dxa"/>
            </w:tcMar>
          </w:tcPr>
          <w:p>
            <w:pPr>
              <w:pStyle w:val="Normal"/>
              <w:jc w:val="center"/>
              <w:rPr>
                <w:rFonts w:ascii="Times New Roman" w:hAnsi="Times New Roman" w:cs="Times New Roman"/>
                <w:b/>
                <w:b/>
                <w:sz w:val="20"/>
                <w:szCs w:val="20"/>
              </w:rPr>
            </w:pPr>
            <w:r>
              <w:rPr>
                <w:rFonts w:eastAsia="Calibri" w:cs="Times New Roman" w:ascii="Calibri" w:hAnsi="Calibri" w:eastAsiaTheme="minorHAnsi"/>
                <w:b/>
                <w:sz w:val="20"/>
                <w:szCs w:val="20"/>
                <w:lang w:eastAsia="en-US"/>
              </w:rPr>
              <w:t>100</w:t>
            </w:r>
          </w:p>
        </w:tc>
      </w:tr>
    </w:tbl>
    <w:p>
      <w:pPr>
        <w:pStyle w:val="Normal"/>
        <w:spacing w:lineRule="auto" w:line="276" w:before="0" w:after="0"/>
        <w:contextualSpacing/>
        <w:rPr>
          <w:b/>
          <w:b/>
          <w:bCs/>
          <w:sz w:val="28"/>
          <w:szCs w:val="28"/>
        </w:rPr>
      </w:pPr>
      <w:r>
        <w:rPr>
          <w:b/>
          <w:bCs/>
          <w:sz w:val="28"/>
          <w:szCs w:val="28"/>
        </w:rPr>
      </w:r>
    </w:p>
    <w:p>
      <w:pPr>
        <w:pStyle w:val="Normal"/>
        <w:spacing w:lineRule="auto" w:line="276" w:before="0" w:after="0"/>
        <w:contextualSpacing/>
        <w:jc w:val="both"/>
        <w:rPr>
          <w:sz w:val="28"/>
          <w:szCs w:val="28"/>
        </w:rPr>
      </w:pPr>
      <w:r>
        <w:rPr>
          <w:sz w:val="28"/>
          <w:szCs w:val="28"/>
        </w:rPr>
        <w:t xml:space="preserve">        </w:t>
      </w:r>
      <w:r>
        <w:rPr>
          <w:sz w:val="28"/>
          <w:szCs w:val="28"/>
        </w:rPr>
        <w:t xml:space="preserve">Сумма земельного налога, не поступившая в бюджет в 2021 году, в связи с предоставлением льгот составила 104,0 тыс. рублей или 12,3% от суммы налога, поступившего в бюджет. Из них льгота по физическим лицам – 0,0 тыс. рублей, юридическим – 104,0  тыс. рублей. </w:t>
      </w:r>
    </w:p>
    <w:p>
      <w:pPr>
        <w:pStyle w:val="Normal"/>
        <w:jc w:val="both"/>
        <w:rPr>
          <w:sz w:val="28"/>
          <w:szCs w:val="28"/>
        </w:rPr>
      </w:pPr>
      <w:r>
        <w:rPr>
          <w:sz w:val="28"/>
          <w:szCs w:val="28"/>
        </w:rPr>
        <w:t xml:space="preserve">      </w:t>
      </w:r>
      <w:r>
        <w:rPr>
          <w:sz w:val="28"/>
          <w:szCs w:val="28"/>
        </w:rPr>
        <w:t>Правом льготы по земельному налогу за отчетный период воспользовалось два юридических лица</w:t>
      </w:r>
      <w:r>
        <w:rPr>
          <w:iCs/>
          <w:sz w:val="28"/>
          <w:szCs w:val="28"/>
        </w:rPr>
        <w:t>.</w:t>
      </w:r>
    </w:p>
    <w:p>
      <w:pPr>
        <w:pStyle w:val="Normal"/>
        <w:jc w:val="both"/>
        <w:rPr>
          <w:sz w:val="28"/>
          <w:szCs w:val="28"/>
        </w:rPr>
      </w:pPr>
      <w:r>
        <w:rPr>
          <w:color w:val="FF0000"/>
          <w:sz w:val="28"/>
          <w:szCs w:val="28"/>
        </w:rPr>
        <w:t xml:space="preserve">     </w:t>
      </w:r>
      <w:r>
        <w:rPr>
          <w:sz w:val="28"/>
          <w:szCs w:val="28"/>
        </w:rPr>
        <w:t>Объем налоговых расходов согласно  данным ИФНС по Саратовской области приходится на технические налоговые расходы.</w:t>
      </w:r>
    </w:p>
    <w:p>
      <w:pPr>
        <w:pStyle w:val="Normal"/>
        <w:jc w:val="both"/>
        <w:rPr>
          <w:sz w:val="28"/>
          <w:szCs w:val="28"/>
        </w:rPr>
      </w:pPr>
      <w:r>
        <w:rPr>
          <w:sz w:val="28"/>
          <w:szCs w:val="28"/>
        </w:rPr>
      </w:r>
    </w:p>
    <w:p>
      <w:pPr>
        <w:pStyle w:val="ListParagraph"/>
        <w:spacing w:lineRule="auto" w:line="240"/>
        <w:ind w:left="1080" w:hanging="0"/>
        <w:jc w:val="center"/>
        <w:rPr>
          <w:rFonts w:ascii="Times New Roman" w:hAnsi="Times New Roman" w:cs="Times New Roman"/>
          <w:b/>
          <w:b/>
          <w:sz w:val="28"/>
          <w:szCs w:val="28"/>
        </w:rPr>
      </w:pPr>
      <w:r>
        <w:rPr>
          <w:rFonts w:cs="Times New Roman" w:ascii="Times New Roman" w:hAnsi="Times New Roman"/>
          <w:b/>
          <w:sz w:val="28"/>
          <w:szCs w:val="28"/>
        </w:rPr>
        <w:t>1.Оценка эффективности применения технических налоговых рас</w:t>
      </w:r>
      <w:r>
        <w:rPr>
          <w:rFonts w:cs="Times New Roman" w:ascii="Times New Roman" w:hAnsi="Times New Roman"/>
          <w:b/>
          <w:sz w:val="28"/>
          <w:szCs w:val="28"/>
        </w:rPr>
        <w:t xml:space="preserve">ходов Николаевского муниципального образования. </w:t>
      </w:r>
    </w:p>
    <w:p>
      <w:pPr>
        <w:pStyle w:val="Normal"/>
        <w:ind w:firstLine="708"/>
        <w:jc w:val="both"/>
        <w:rPr>
          <w:sz w:val="28"/>
          <w:szCs w:val="28"/>
        </w:rPr>
      </w:pPr>
      <w:r>
        <w:rPr>
          <w:sz w:val="28"/>
          <w:szCs w:val="28"/>
        </w:rPr>
        <w:t>В соответствии с пунктом 4 Решения Совета Николаевского муниципального образования Ивантеевского муниципального района Саратовской области  от 20.11.2019г. № 29 дополнительно освобождаются от налогообложения:</w:t>
      </w:r>
    </w:p>
    <w:p>
      <w:pPr>
        <w:pStyle w:val="NoSpacing"/>
        <w:ind w:firstLine="708"/>
        <w:jc w:val="both"/>
        <w:rPr>
          <w:rFonts w:ascii="Times New Roman" w:hAnsi="Times New Roman"/>
          <w:sz w:val="28"/>
          <w:szCs w:val="28"/>
        </w:rPr>
      </w:pPr>
      <w:r>
        <w:rPr>
          <w:rFonts w:ascii="Times New Roman" w:hAnsi="Times New Roman"/>
          <w:sz w:val="28"/>
          <w:szCs w:val="28"/>
        </w:rPr>
        <w:t>-земли общего пользования населенных пунктов;</w:t>
      </w:r>
    </w:p>
    <w:p>
      <w:pPr>
        <w:pStyle w:val="NoSpacing"/>
        <w:ind w:firstLine="708"/>
        <w:jc w:val="both"/>
        <w:rPr>
          <w:rFonts w:ascii="Times New Roman" w:hAnsi="Times New Roman"/>
          <w:sz w:val="28"/>
          <w:szCs w:val="28"/>
        </w:rPr>
      </w:pPr>
      <w:r>
        <w:rPr>
          <w:rFonts w:ascii="Times New Roman" w:hAnsi="Times New Roman"/>
          <w:sz w:val="28"/>
          <w:szCs w:val="28"/>
        </w:rPr>
        <w:t>-учреждения культуры, физической культуры, спорта и туризма, спортивно-оздоровительной направленности и спортивные сооружения (за исключением   деятельности не по профилю спортивных сооружений физкультурно-спортивных учреждений) независимо от источников финансирования,</w:t>
      </w:r>
    </w:p>
    <w:p>
      <w:pPr>
        <w:pStyle w:val="NoSpacing"/>
        <w:ind w:firstLine="708"/>
        <w:jc w:val="both"/>
        <w:rPr>
          <w:rFonts w:ascii="Times New Roman" w:hAnsi="Times New Roman"/>
          <w:sz w:val="28"/>
          <w:szCs w:val="28"/>
        </w:rPr>
      </w:pPr>
      <w:r>
        <w:rPr>
          <w:rFonts w:ascii="Times New Roman" w:hAnsi="Times New Roman"/>
          <w:sz w:val="28"/>
          <w:szCs w:val="28"/>
        </w:rPr>
        <w:t>-земли, предоставленные для обеспечения деятельности местных органов власти и управления;</w:t>
      </w:r>
    </w:p>
    <w:p>
      <w:pPr>
        <w:pStyle w:val="NoSpacing"/>
        <w:ind w:firstLine="708"/>
        <w:jc w:val="both"/>
        <w:rPr>
          <w:rFonts w:ascii="Times New Roman" w:hAnsi="Times New Roman"/>
          <w:sz w:val="28"/>
          <w:szCs w:val="28"/>
        </w:rPr>
      </w:pPr>
      <w:r>
        <w:rPr>
          <w:rFonts w:ascii="Times New Roman" w:hAnsi="Times New Roman"/>
          <w:sz w:val="28"/>
          <w:szCs w:val="28"/>
        </w:rPr>
        <w:t>-земли, находящиеся в муниципальной собственности;</w:t>
      </w:r>
    </w:p>
    <w:p>
      <w:pPr>
        <w:pStyle w:val="NoSpacing"/>
        <w:ind w:firstLine="708"/>
        <w:jc w:val="both"/>
        <w:rPr>
          <w:rFonts w:ascii="Times New Roman" w:hAnsi="Times New Roman"/>
          <w:sz w:val="28"/>
          <w:szCs w:val="28"/>
        </w:rPr>
      </w:pPr>
      <w:r>
        <w:rPr>
          <w:rFonts w:ascii="Times New Roman" w:hAnsi="Times New Roman"/>
          <w:sz w:val="28"/>
          <w:szCs w:val="28"/>
        </w:rPr>
        <w:t>-муниципальные  учреждения, финансируемые за счет средств бюджета Ивантеевского муниципального района в отношении земельных участков, используемых для  осуществления уставной деятельности (в том числе и под зданиями и сооружениями);</w:t>
      </w:r>
    </w:p>
    <w:p>
      <w:pPr>
        <w:pStyle w:val="NoSpacing"/>
        <w:ind w:firstLine="708"/>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(реконструкцию) указанных объектов.</w:t>
      </w:r>
    </w:p>
    <w:p>
      <w:pPr>
        <w:pStyle w:val="NoSpacing"/>
        <w:jc w:val="both"/>
        <w:rPr>
          <w:rFonts w:ascii="Times New Roman" w:hAnsi="Times New Roman"/>
          <w:color w:val="000000"/>
          <w:sz w:val="28"/>
          <w:szCs w:val="28"/>
        </w:rPr>
      </w:pPr>
      <w:r>
        <w:rPr>
          <w:rFonts w:ascii="Times New Roman" w:hAnsi="Times New Roman"/>
          <w:color w:val="000000"/>
          <w:sz w:val="28"/>
          <w:szCs w:val="28"/>
        </w:rPr>
      </w:r>
    </w:p>
    <w:p>
      <w:pPr>
        <w:pStyle w:val="Normal"/>
        <w:jc w:val="center"/>
        <w:rPr>
          <w:b/>
          <w:b/>
          <w:sz w:val="28"/>
          <w:szCs w:val="28"/>
        </w:rPr>
      </w:pPr>
      <w:r>
        <w:rPr>
          <w:b/>
          <w:sz w:val="28"/>
          <w:szCs w:val="28"/>
        </w:rPr>
        <w:t>Информация о технических налоговых расходах за 2017г.-2021г.</w:t>
      </w:r>
    </w:p>
    <w:tbl>
      <w:tblPr>
        <w:tblStyle w:val="a6"/>
        <w:tblW w:w="9571" w:type="dxa"/>
        <w:jc w:val="left"/>
        <w:tblInd w:w="0" w:type="dxa"/>
        <w:tblCellMar>
          <w:top w:w="0" w:type="dxa"/>
          <w:left w:w="103" w:type="dxa"/>
          <w:bottom w:w="0" w:type="dxa"/>
          <w:right w:w="108" w:type="dxa"/>
        </w:tblCellMar>
        <w:tblLook w:val="04a0"/>
      </w:tblPr>
      <w:tblGrid>
        <w:gridCol w:w="579"/>
        <w:gridCol w:w="2962"/>
        <w:gridCol w:w="1"/>
        <w:gridCol w:w="961"/>
        <w:gridCol w:w="1"/>
        <w:gridCol w:w="849"/>
        <w:gridCol w:w="1"/>
        <w:gridCol w:w="848"/>
        <w:gridCol w:w="1"/>
        <w:gridCol w:w="993"/>
        <w:gridCol w:w="1"/>
        <w:gridCol w:w="931"/>
        <w:gridCol w:w="1"/>
        <w:gridCol w:w="1"/>
        <w:gridCol w:w="1439"/>
      </w:tblGrid>
      <w:tr>
        <w:trPr>
          <w:trHeight w:val="175" w:hRule="atLeast"/>
        </w:trPr>
        <w:tc>
          <w:tcPr>
            <w:tcW w:w="57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 xml:space="preserve">№ </w:t>
            </w:r>
            <w:r>
              <w:rPr>
                <w:rFonts w:eastAsia="Calibri" w:cs="Times New Roman" w:ascii="Calibri" w:hAnsi="Calibri" w:eastAsiaTheme="minorHAnsi"/>
                <w:sz w:val="22"/>
                <w:szCs w:val="22"/>
                <w:lang w:eastAsia="en-US"/>
              </w:rPr>
              <w:t>п/п</w:t>
            </w:r>
          </w:p>
        </w:tc>
        <w:tc>
          <w:tcPr>
            <w:tcW w:w="2963" w:type="dxa"/>
            <w:gridSpan w:val="2"/>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Фискальные характеристики налоговых расходов</w:t>
            </w:r>
          </w:p>
        </w:tc>
        <w:tc>
          <w:tcPr>
            <w:tcW w:w="4588" w:type="dxa"/>
            <w:gridSpan w:val="11"/>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Значение показателя</w:t>
            </w:r>
          </w:p>
        </w:tc>
        <w:tc>
          <w:tcPr>
            <w:tcW w:w="143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Темп роста (снижения) 2021 года к 2020 году, %</w:t>
            </w:r>
          </w:p>
        </w:tc>
      </w:tr>
      <w:tr>
        <w:trPr>
          <w:trHeight w:val="562" w:hRule="atLeast"/>
        </w:trPr>
        <w:tc>
          <w:tcPr>
            <w:tcW w:w="579" w:type="dxa"/>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2963"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2017 год</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2018 год</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2019 год</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2020 год</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2021 год</w:t>
            </w:r>
          </w:p>
        </w:tc>
        <w:tc>
          <w:tcPr>
            <w:tcW w:w="1440"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1</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налоговых расходов в результате освобождения от налогообложения тыс. руб.</w:t>
            </w:r>
          </w:p>
        </w:tc>
        <w:tc>
          <w:tcPr>
            <w:tcW w:w="962" w:type="dxa"/>
            <w:gridSpan w:val="2"/>
            <w:tcBorders/>
            <w:shd w:fill="auto" w:val="clear"/>
            <w:tcMar>
              <w:left w:w="103" w:type="dxa"/>
            </w:tcMar>
          </w:tcPr>
          <w:p>
            <w:pPr>
              <w:pStyle w:val="Normal"/>
              <w:rPr>
                <w:rFonts w:ascii="Times New Roman" w:hAnsi="Times New Roman" w:cs="Times New Roman"/>
              </w:rPr>
            </w:pPr>
            <w:r>
              <w:rPr>
                <w:rFonts w:eastAsia="Calibri" w:cs="Times New Roman" w:ascii="Calibri" w:hAnsi="Calibri" w:eastAsiaTheme="minorHAnsi"/>
                <w:sz w:val="22"/>
                <w:szCs w:val="22"/>
                <w:lang w:eastAsia="en-US"/>
              </w:rPr>
              <w:t xml:space="preserve">  </w:t>
            </w:r>
            <w:r>
              <w:rPr>
                <w:rFonts w:eastAsia="Calibri" w:cs="Times New Roman" w:ascii="Calibri" w:hAnsi="Calibri" w:eastAsiaTheme="minorHAnsi"/>
                <w:sz w:val="22"/>
                <w:szCs w:val="22"/>
                <w:lang w:eastAsia="en-US"/>
              </w:rPr>
              <w:t>261,0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104,0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104,0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2</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выпадающих доходов бюджета в результате применения налоговой льготы по земельному налогу, тыс. руб.</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261,0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104,0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104,0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 xml:space="preserve">3 </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Численность налогоплательщиков, воспользовавшихся льготой, ед.</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50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Общее количество налогоплательщиков, чел.</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6</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7</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116,7</w:t>
            </w:r>
          </w:p>
        </w:tc>
      </w:tr>
      <w:tr>
        <w:trPr>
          <w:trHeight w:val="380" w:hRule="atLeast"/>
        </w:trPr>
        <w:tc>
          <w:tcPr>
            <w:tcW w:w="3541" w:type="dxa"/>
            <w:gridSpan w:val="2"/>
            <w:tcBorders/>
            <w:shd w:fill="auto" w:val="clear"/>
            <w:tcMar>
              <w:left w:w="103" w:type="dxa"/>
            </w:tcMar>
          </w:tcPr>
          <w:p>
            <w:pPr>
              <w:pStyle w:val="Normal"/>
              <w:jc w:val="both"/>
              <w:rPr>
                <w:rFonts w:ascii="Times New Roman" w:hAnsi="Times New Roman" w:cs="Times New Roman"/>
              </w:rPr>
            </w:pPr>
            <w:r>
              <w:rPr>
                <w:rFonts w:eastAsia="Calibri" w:cs="" w:ascii="Calibri" w:hAnsi="Calibri" w:cstheme="minorBidi" w:eastAsiaTheme="minorHAnsi"/>
                <w:b/>
                <w:sz w:val="22"/>
                <w:szCs w:val="22"/>
                <w:lang w:eastAsia="en-US"/>
              </w:rPr>
              <w:t>Востребованность</w:t>
            </w:r>
            <w:r>
              <w:rPr>
                <w:rFonts w:eastAsia="Calibri" w:cs="" w:ascii="Calibri" w:hAnsi="Calibri" w:cstheme="minorBidi" w:eastAsiaTheme="minorHAnsi"/>
                <w:sz w:val="22"/>
                <w:szCs w:val="22"/>
                <w:lang w:eastAsia="en-US"/>
              </w:rPr>
              <w:t xml:space="preserve"> </w:t>
            </w:r>
            <w:r>
              <w:rPr>
                <w:rFonts w:eastAsia="Calibri" w:cs="" w:ascii="Calibri" w:hAnsi="Calibri" w:cstheme="minorBidi" w:eastAsiaTheme="minorHAnsi"/>
                <w:bCs/>
                <w:iCs/>
                <w:sz w:val="22"/>
                <w:szCs w:val="22"/>
                <w:lang w:eastAsia="en-US"/>
              </w:rPr>
              <w:t>(соотношение численности плательщиков, воспользовавшихся правом на льготы к общей численности плательщиков)</w:t>
            </w:r>
            <w:r>
              <w:rPr>
                <w:rFonts w:eastAsia="Calibri" w:cs="" w:ascii="Calibri" w:hAnsi="Calibri" w:cstheme="minorBidi" w:eastAsiaTheme="minorHAnsi"/>
                <w:sz w:val="22"/>
                <w:szCs w:val="22"/>
                <w:lang w:eastAsia="en-US"/>
              </w:rPr>
              <w:t>, %</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50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66,7</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28,6</w:t>
            </w:r>
          </w:p>
        </w:tc>
        <w:tc>
          <w:tcPr>
            <w:tcW w:w="1441" w:type="dxa"/>
            <w:gridSpan w:val="3"/>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42,8</w:t>
            </w:r>
          </w:p>
        </w:tc>
      </w:tr>
    </w:tbl>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sz w:val="28"/>
          <w:szCs w:val="28"/>
        </w:rPr>
      </w:pPr>
      <w:r>
        <w:rPr/>
        <w:tab/>
      </w:r>
      <w:r>
        <w:rPr>
          <w:sz w:val="28"/>
          <w:szCs w:val="28"/>
        </w:rPr>
        <w:t>Целью применения данного налогового расхода является оптимизация встречных бюджетных финансовых потоков.</w:t>
      </w:r>
    </w:p>
    <w:p>
      <w:pPr>
        <w:pStyle w:val="Normal"/>
        <w:jc w:val="both"/>
        <w:rPr>
          <w:sz w:val="28"/>
          <w:szCs w:val="28"/>
        </w:rPr>
      </w:pPr>
      <w:r>
        <w:rPr>
          <w:sz w:val="28"/>
          <w:szCs w:val="28"/>
        </w:rPr>
        <w:t xml:space="preserve">          </w:t>
      </w:r>
      <w:r>
        <w:rPr>
          <w:sz w:val="28"/>
          <w:szCs w:val="28"/>
        </w:rPr>
        <w:t>В 2021 году налоговой льготой воспользовались 2 организации,  что свидетельствует о ее целесообразности.</w:t>
      </w:r>
    </w:p>
    <w:p>
      <w:pPr>
        <w:pStyle w:val="Normal"/>
        <w:ind w:firstLine="708"/>
        <w:jc w:val="both"/>
        <w:rPr>
          <w:sz w:val="28"/>
          <w:szCs w:val="28"/>
        </w:rPr>
      </w:pPr>
      <w:r>
        <w:rPr>
          <w:b/>
          <w:sz w:val="28"/>
          <w:szCs w:val="28"/>
        </w:rPr>
        <w:t>Вывод:</w:t>
      </w:r>
      <w:r>
        <w:rPr>
          <w:sz w:val="28"/>
          <w:szCs w:val="28"/>
        </w:rPr>
        <w:t xml:space="preserve"> поскольку налоговый расход оказывает положительное влияние на развитие Николаевского муниципального образования, способствует устранению встречных финансовых потоков средств местного бюджета, его действие в 2021 году признано целесообразным и эффективным.</w:t>
      </w:r>
    </w:p>
    <w:p>
      <w:pPr>
        <w:pStyle w:val="Normal"/>
        <w:ind w:firstLine="708"/>
        <w:jc w:val="both"/>
        <w:rPr>
          <w:sz w:val="28"/>
          <w:szCs w:val="28"/>
        </w:rPr>
      </w:pPr>
      <w:r>
        <w:rPr>
          <w:sz w:val="28"/>
          <w:szCs w:val="28"/>
        </w:rPr>
      </w:r>
    </w:p>
    <w:p>
      <w:pPr>
        <w:pStyle w:val="Normal"/>
        <w:jc w:val="center"/>
        <w:rPr>
          <w:sz w:val="28"/>
          <w:szCs w:val="28"/>
        </w:rPr>
      </w:pPr>
      <w:r>
        <w:rPr>
          <w:b/>
          <w:sz w:val="28"/>
          <w:szCs w:val="28"/>
        </w:rPr>
        <w:t>2.Оценка эффективности применения социальных налоговых расходов Николаевского муниципального образования.</w:t>
      </w:r>
    </w:p>
    <w:p>
      <w:pPr>
        <w:pStyle w:val="NormalWeb"/>
        <w:spacing w:beforeAutospacing="0" w:before="0" w:afterAutospacing="0" w:after="0"/>
        <w:jc w:val="both"/>
        <w:rPr>
          <w:sz w:val="28"/>
          <w:szCs w:val="28"/>
        </w:rPr>
      </w:pPr>
      <w:r>
        <w:rPr>
          <w:sz w:val="28"/>
          <w:szCs w:val="28"/>
        </w:rPr>
        <w:t xml:space="preserve">          </w:t>
      </w:r>
      <w:r>
        <w:rPr>
          <w:sz w:val="28"/>
          <w:szCs w:val="28"/>
        </w:rPr>
        <w:t xml:space="preserve">Сумма земельного налога с физических лиц, поступившая в бюджет  в 2021 году составила 823,1 тыс. рублей. </w:t>
      </w:r>
    </w:p>
    <w:p>
      <w:pPr>
        <w:pStyle w:val="Normal"/>
        <w:jc w:val="both"/>
        <w:rPr>
          <w:sz w:val="28"/>
          <w:szCs w:val="28"/>
        </w:rPr>
      </w:pPr>
      <w:r>
        <w:rPr>
          <w:sz w:val="28"/>
          <w:szCs w:val="28"/>
        </w:rPr>
        <w:t xml:space="preserve">  </w:t>
      </w:r>
      <w:r>
        <w:rPr>
          <w:sz w:val="28"/>
          <w:szCs w:val="28"/>
        </w:rPr>
        <w:t xml:space="preserve">        </w:t>
      </w:r>
      <w:r>
        <w:rPr>
          <w:sz w:val="28"/>
          <w:szCs w:val="28"/>
        </w:rPr>
        <w:t xml:space="preserve">По отчету 5-МН льготы по земельному налогу с физических лиц за отчетный период предоставлены в сумме 0,0 тыс. рублей. </w:t>
      </w:r>
    </w:p>
    <w:p>
      <w:pPr>
        <w:pStyle w:val="Normal"/>
        <w:jc w:val="both"/>
        <w:rPr>
          <w:sz w:val="28"/>
          <w:szCs w:val="28"/>
        </w:rPr>
      </w:pPr>
      <w:r>
        <w:rPr>
          <w:sz w:val="28"/>
          <w:szCs w:val="28"/>
        </w:rPr>
        <w:t xml:space="preserve">          </w:t>
      </w:r>
      <w:r>
        <w:rPr>
          <w:sz w:val="28"/>
          <w:szCs w:val="28"/>
        </w:rPr>
        <w:t>Освобождены от уплаты земельного налога с физических лиц:</w:t>
      </w:r>
    </w:p>
    <w:p>
      <w:pPr>
        <w:pStyle w:val="NoSpacing"/>
        <w:ind w:firstLine="708"/>
        <w:jc w:val="both"/>
        <w:rPr>
          <w:rFonts w:ascii="Times New Roman" w:hAnsi="Times New Roman"/>
          <w:sz w:val="28"/>
          <w:szCs w:val="28"/>
        </w:rPr>
      </w:pPr>
      <w:r>
        <w:rPr>
          <w:rFonts w:ascii="Times New Roman" w:hAnsi="Times New Roman"/>
          <w:sz w:val="28"/>
          <w:szCs w:val="28"/>
        </w:rPr>
        <w:t>-инвалиды Великой Отечественной войны; вдовы ветеранов и инвалидов Великой Отечественной войны  в соответствии с Федеральным законом от 12.01.1995 года № 5 – ФЗ «О ветеранах».</w:t>
      </w:r>
    </w:p>
    <w:p>
      <w:pPr>
        <w:pStyle w:val="NoSpacing"/>
        <w:ind w:firstLine="708"/>
        <w:jc w:val="both"/>
        <w:rPr>
          <w:rFonts w:ascii="Times New Roman" w:hAnsi="Times New Roman"/>
          <w:sz w:val="28"/>
          <w:szCs w:val="28"/>
        </w:rPr>
      </w:pPr>
      <w:r>
        <w:rPr>
          <w:rFonts w:ascii="Times New Roman" w:hAnsi="Times New Roman"/>
          <w:sz w:val="28"/>
          <w:szCs w:val="28"/>
        </w:rPr>
      </w:r>
    </w:p>
    <w:p>
      <w:pPr>
        <w:pStyle w:val="Normal"/>
        <w:jc w:val="center"/>
        <w:rPr>
          <w:b/>
          <w:b/>
          <w:sz w:val="28"/>
          <w:szCs w:val="28"/>
        </w:rPr>
      </w:pPr>
      <w:r>
        <w:rPr>
          <w:b/>
          <w:sz w:val="28"/>
          <w:szCs w:val="28"/>
        </w:rPr>
        <w:t>Информация о социальны</w:t>
      </w:r>
      <w:r>
        <w:rPr>
          <w:b/>
          <w:sz w:val="28"/>
          <w:szCs w:val="28"/>
        </w:rPr>
        <w:t>х налоговых расходах за 2017г.-2021г.</w:t>
      </w:r>
    </w:p>
    <w:tbl>
      <w:tblPr>
        <w:tblStyle w:val="a6"/>
        <w:tblW w:w="9571" w:type="dxa"/>
        <w:jc w:val="left"/>
        <w:tblInd w:w="0" w:type="dxa"/>
        <w:tblCellMar>
          <w:top w:w="0" w:type="dxa"/>
          <w:left w:w="103" w:type="dxa"/>
          <w:bottom w:w="0" w:type="dxa"/>
          <w:right w:w="108" w:type="dxa"/>
        </w:tblCellMar>
        <w:tblLook w:val="04a0"/>
      </w:tblPr>
      <w:tblGrid>
        <w:gridCol w:w="579"/>
        <w:gridCol w:w="2962"/>
        <w:gridCol w:w="1"/>
        <w:gridCol w:w="961"/>
        <w:gridCol w:w="1"/>
        <w:gridCol w:w="849"/>
        <w:gridCol w:w="1"/>
        <w:gridCol w:w="848"/>
        <w:gridCol w:w="1"/>
        <w:gridCol w:w="993"/>
        <w:gridCol w:w="1"/>
        <w:gridCol w:w="931"/>
        <w:gridCol w:w="1"/>
        <w:gridCol w:w="1"/>
        <w:gridCol w:w="1439"/>
      </w:tblGrid>
      <w:tr>
        <w:trPr>
          <w:trHeight w:val="175" w:hRule="atLeast"/>
        </w:trPr>
        <w:tc>
          <w:tcPr>
            <w:tcW w:w="57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 xml:space="preserve">№ </w:t>
            </w:r>
            <w:r>
              <w:rPr>
                <w:rFonts w:eastAsia="Calibri" w:cs="Times New Roman" w:ascii="Calibri" w:hAnsi="Calibri" w:eastAsiaTheme="minorHAnsi"/>
                <w:sz w:val="22"/>
                <w:szCs w:val="22"/>
                <w:lang w:eastAsia="en-US"/>
              </w:rPr>
              <w:t>п/п</w:t>
            </w:r>
          </w:p>
        </w:tc>
        <w:tc>
          <w:tcPr>
            <w:tcW w:w="2963" w:type="dxa"/>
            <w:gridSpan w:val="2"/>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Фискальные характеристики налоговых расходов</w:t>
            </w:r>
          </w:p>
        </w:tc>
        <w:tc>
          <w:tcPr>
            <w:tcW w:w="4588" w:type="dxa"/>
            <w:gridSpan w:val="11"/>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Значение показателя</w:t>
            </w:r>
          </w:p>
        </w:tc>
        <w:tc>
          <w:tcPr>
            <w:tcW w:w="143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Темп роста (снижения) 2021 года к 2020 году, %</w:t>
            </w:r>
          </w:p>
        </w:tc>
      </w:tr>
      <w:tr>
        <w:trPr>
          <w:trHeight w:val="562" w:hRule="atLeast"/>
        </w:trPr>
        <w:tc>
          <w:tcPr>
            <w:tcW w:w="579" w:type="dxa"/>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2963"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2017 год</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2018 год</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2019 год</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2020 год</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2021 год</w:t>
            </w:r>
          </w:p>
        </w:tc>
        <w:tc>
          <w:tcPr>
            <w:tcW w:w="1440"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1</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налоговых расходов в результате освобождения от налогообложения тыс. руб.</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2</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выпадающих доходов бюджета в результате применения налоговой льготы по земельному налогу, тыс. руб.</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 xml:space="preserve">3 </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Численность налогоплательщиков, воспользовавшихся льготой, ед.</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Общее количество налогоплательщиков, чел.</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521</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498</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501</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497</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502</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101</w:t>
            </w:r>
          </w:p>
        </w:tc>
      </w:tr>
      <w:tr>
        <w:trPr>
          <w:trHeight w:val="380" w:hRule="atLeast"/>
        </w:trPr>
        <w:tc>
          <w:tcPr>
            <w:tcW w:w="3541" w:type="dxa"/>
            <w:gridSpan w:val="2"/>
            <w:tcBorders/>
            <w:shd w:fill="auto" w:val="clear"/>
            <w:tcMar>
              <w:left w:w="103" w:type="dxa"/>
            </w:tcMar>
          </w:tcPr>
          <w:p>
            <w:pPr>
              <w:pStyle w:val="Normal"/>
              <w:jc w:val="both"/>
              <w:rPr>
                <w:rFonts w:ascii="Times New Roman" w:hAnsi="Times New Roman" w:cs="Times New Roman"/>
              </w:rPr>
            </w:pPr>
            <w:r>
              <w:rPr>
                <w:rFonts w:eastAsia="Calibri" w:cs="" w:ascii="Calibri" w:hAnsi="Calibri" w:cstheme="minorBidi" w:eastAsiaTheme="minorHAnsi"/>
                <w:b/>
                <w:sz w:val="22"/>
                <w:szCs w:val="22"/>
                <w:lang w:eastAsia="en-US"/>
              </w:rPr>
              <w:t>Востребованность</w:t>
            </w:r>
            <w:r>
              <w:rPr>
                <w:rFonts w:eastAsia="Calibri" w:cs="" w:ascii="Calibri" w:hAnsi="Calibri" w:cstheme="minorBidi" w:eastAsiaTheme="minorHAnsi"/>
                <w:sz w:val="22"/>
                <w:szCs w:val="22"/>
                <w:lang w:eastAsia="en-US"/>
              </w:rPr>
              <w:t xml:space="preserve"> </w:t>
            </w:r>
            <w:r>
              <w:rPr>
                <w:rFonts w:eastAsia="Calibri" w:cs="" w:ascii="Calibri" w:hAnsi="Calibri" w:cstheme="minorBidi" w:eastAsiaTheme="minorHAnsi"/>
                <w:bCs/>
                <w:iCs/>
                <w:sz w:val="22"/>
                <w:szCs w:val="22"/>
                <w:lang w:eastAsia="en-US"/>
              </w:rPr>
              <w:t>(соотношение численности плательщиков, воспользовавшихся правом на льготы к общей численности плательщиков)</w:t>
            </w:r>
            <w:r>
              <w:rPr>
                <w:rFonts w:eastAsia="Calibri" w:cs="" w:ascii="Calibri" w:hAnsi="Calibri" w:cstheme="minorBidi" w:eastAsiaTheme="minorHAnsi"/>
                <w:sz w:val="22"/>
                <w:szCs w:val="22"/>
                <w:lang w:eastAsia="en-US"/>
              </w:rPr>
              <w:t>, %</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1" w:type="dxa"/>
            <w:gridSpan w:val="3"/>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bl>
    <w:p>
      <w:pPr>
        <w:pStyle w:val="NoSpacing"/>
        <w:ind w:firstLine="708"/>
        <w:jc w:val="both"/>
        <w:rPr>
          <w:rFonts w:ascii="Times New Roman" w:hAnsi="Times New Roman"/>
          <w:sz w:val="28"/>
          <w:szCs w:val="28"/>
        </w:rPr>
      </w:pPr>
      <w:r>
        <w:rPr>
          <w:rFonts w:ascii="Times New Roman" w:hAnsi="Times New Roman"/>
          <w:sz w:val="28"/>
          <w:szCs w:val="28"/>
        </w:rPr>
      </w:r>
    </w:p>
    <w:p>
      <w:pPr>
        <w:pStyle w:val="Normal"/>
        <w:jc w:val="both"/>
        <w:rPr>
          <w:sz w:val="28"/>
          <w:szCs w:val="28"/>
        </w:rPr>
      </w:pPr>
      <w:r>
        <w:rPr>
          <w:sz w:val="28"/>
          <w:szCs w:val="28"/>
        </w:rPr>
        <w:t xml:space="preserve">      </w:t>
      </w:r>
      <w:r>
        <w:rPr>
          <w:sz w:val="28"/>
          <w:szCs w:val="28"/>
        </w:rPr>
        <w:t xml:space="preserve">Действие </w:t>
      </w:r>
      <w:r>
        <w:rPr>
          <w:bCs/>
          <w:sz w:val="28"/>
          <w:szCs w:val="28"/>
        </w:rPr>
        <w:t>социального налогового расхода</w:t>
      </w:r>
      <w:r>
        <w:rPr>
          <w:b/>
          <w:bCs/>
          <w:sz w:val="28"/>
          <w:szCs w:val="28"/>
        </w:rPr>
        <w:t xml:space="preserve"> </w:t>
      </w:r>
      <w:r>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tab/>
      </w:r>
    </w:p>
    <w:p>
      <w:pPr>
        <w:pStyle w:val="Normal"/>
        <w:jc w:val="both"/>
        <w:rPr>
          <w:sz w:val="28"/>
          <w:szCs w:val="28"/>
        </w:rPr>
      </w:pPr>
      <w:r>
        <w:rPr>
          <w:sz w:val="28"/>
          <w:szCs w:val="28"/>
        </w:rPr>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pPr>
        <w:pStyle w:val="Normal"/>
        <w:jc w:val="both"/>
        <w:rPr>
          <w:b/>
          <w:b/>
          <w:bCs/>
          <w:sz w:val="28"/>
          <w:szCs w:val="28"/>
        </w:rPr>
      </w:pPr>
      <w:r>
        <w:rPr>
          <w:sz w:val="28"/>
          <w:szCs w:val="28"/>
        </w:rPr>
        <w:tab/>
      </w:r>
      <w:r>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Pr>
          <w:sz w:val="28"/>
          <w:szCs w:val="28"/>
        </w:rPr>
        <w:t xml:space="preserve"> </w:t>
      </w:r>
      <w:r>
        <w:rPr>
          <w:b/>
          <w:sz w:val="28"/>
          <w:szCs w:val="28"/>
        </w:rPr>
        <w:t>и не требующим отмены.</w:t>
      </w:r>
      <w:r>
        <w:rPr>
          <w:b/>
          <w:bCs/>
          <w:sz w:val="28"/>
          <w:szCs w:val="28"/>
        </w:rPr>
        <w:t xml:space="preserve"> </w:t>
      </w:r>
    </w:p>
    <w:p>
      <w:pPr>
        <w:pStyle w:val="Normal"/>
        <w:jc w:val="both"/>
        <w:rPr>
          <w:b/>
          <w:b/>
          <w:bCs/>
          <w:sz w:val="28"/>
          <w:szCs w:val="28"/>
        </w:rPr>
      </w:pPr>
      <w:r>
        <w:rPr>
          <w:b/>
          <w:bCs/>
          <w:sz w:val="28"/>
          <w:szCs w:val="28"/>
        </w:rPr>
      </w:r>
    </w:p>
    <w:p>
      <w:pPr>
        <w:pStyle w:val="Normal"/>
        <w:jc w:val="center"/>
        <w:rPr>
          <w:b/>
          <w:b/>
          <w:sz w:val="28"/>
          <w:szCs w:val="28"/>
        </w:rPr>
      </w:pPr>
      <w:r>
        <w:rPr>
          <w:b/>
          <w:sz w:val="28"/>
          <w:szCs w:val="28"/>
        </w:rPr>
        <w:t>3.Оценка эффективности применения стимулирующих налоговых расходов Николаевского муниципального образования.</w:t>
      </w:r>
    </w:p>
    <w:p>
      <w:pPr>
        <w:pStyle w:val="Normal"/>
        <w:jc w:val="both"/>
        <w:rPr>
          <w:color w:val="FF0000"/>
          <w:sz w:val="28"/>
          <w:szCs w:val="28"/>
        </w:rPr>
      </w:pPr>
      <w:r>
        <w:rPr>
          <w:color w:val="FF0000"/>
          <w:sz w:val="28"/>
          <w:szCs w:val="28"/>
        </w:rPr>
        <w:t xml:space="preserve">     </w:t>
      </w:r>
    </w:p>
    <w:p>
      <w:pPr>
        <w:pStyle w:val="Normal"/>
        <w:jc w:val="center"/>
        <w:rPr>
          <w:b/>
          <w:b/>
          <w:sz w:val="28"/>
          <w:szCs w:val="28"/>
        </w:rPr>
      </w:pPr>
      <w:r>
        <w:rPr>
          <w:b/>
          <w:sz w:val="28"/>
          <w:szCs w:val="28"/>
        </w:rPr>
        <w:t>Информация о стимулирующих налоговых расходах за 2017г.-2021г.</w:t>
      </w:r>
    </w:p>
    <w:tbl>
      <w:tblPr>
        <w:tblStyle w:val="a6"/>
        <w:tblW w:w="9571" w:type="dxa"/>
        <w:jc w:val="left"/>
        <w:tblInd w:w="0" w:type="dxa"/>
        <w:tblCellMar>
          <w:top w:w="0" w:type="dxa"/>
          <w:left w:w="103" w:type="dxa"/>
          <w:bottom w:w="0" w:type="dxa"/>
          <w:right w:w="108" w:type="dxa"/>
        </w:tblCellMar>
        <w:tblLook w:val="04a0"/>
      </w:tblPr>
      <w:tblGrid>
        <w:gridCol w:w="579"/>
        <w:gridCol w:w="2962"/>
        <w:gridCol w:w="1"/>
        <w:gridCol w:w="961"/>
        <w:gridCol w:w="1"/>
        <w:gridCol w:w="849"/>
        <w:gridCol w:w="1"/>
        <w:gridCol w:w="848"/>
        <w:gridCol w:w="1"/>
        <w:gridCol w:w="993"/>
        <w:gridCol w:w="1"/>
        <w:gridCol w:w="931"/>
        <w:gridCol w:w="1"/>
        <w:gridCol w:w="1"/>
        <w:gridCol w:w="1439"/>
      </w:tblGrid>
      <w:tr>
        <w:trPr>
          <w:trHeight w:val="175" w:hRule="atLeast"/>
        </w:trPr>
        <w:tc>
          <w:tcPr>
            <w:tcW w:w="57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 xml:space="preserve">№ </w:t>
            </w:r>
            <w:r>
              <w:rPr>
                <w:rFonts w:eastAsia="Calibri" w:cs="Times New Roman" w:ascii="Calibri" w:hAnsi="Calibri" w:eastAsiaTheme="minorHAnsi"/>
                <w:sz w:val="22"/>
                <w:szCs w:val="22"/>
                <w:lang w:eastAsia="en-US"/>
              </w:rPr>
              <w:t>п/п</w:t>
            </w:r>
          </w:p>
        </w:tc>
        <w:tc>
          <w:tcPr>
            <w:tcW w:w="2963" w:type="dxa"/>
            <w:gridSpan w:val="2"/>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Фискальные характеристики налоговых расходов</w:t>
            </w:r>
          </w:p>
        </w:tc>
        <w:tc>
          <w:tcPr>
            <w:tcW w:w="4588" w:type="dxa"/>
            <w:gridSpan w:val="11"/>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Значение показателя</w:t>
            </w:r>
          </w:p>
        </w:tc>
        <w:tc>
          <w:tcPr>
            <w:tcW w:w="1439" w:type="dxa"/>
            <w:vMerge w:val="restart"/>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Темп роста (снижения) 2021 года к 2020 году, %</w:t>
            </w:r>
          </w:p>
        </w:tc>
      </w:tr>
      <w:tr>
        <w:trPr>
          <w:trHeight w:val="562" w:hRule="atLeast"/>
        </w:trPr>
        <w:tc>
          <w:tcPr>
            <w:tcW w:w="579" w:type="dxa"/>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2963"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2017 год</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2018 год</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2019 год</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2020 год</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2021 год</w:t>
            </w:r>
          </w:p>
        </w:tc>
        <w:tc>
          <w:tcPr>
            <w:tcW w:w="1440" w:type="dxa"/>
            <w:gridSpan w:val="2"/>
            <w:vMerge w:val="continue"/>
            <w:tcBorders/>
            <w:shd w:fill="auto" w:val="clear"/>
            <w:tcMar>
              <w:left w:w="103" w:type="dxa"/>
            </w:tcMar>
          </w:tcPr>
          <w:p>
            <w:pPr>
              <w:pStyle w:val="Normal"/>
              <w:jc w:val="righ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1</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налоговых расходов в результате освобождения от налогообложения тыс. руб.</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2</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Объем выпадающих доходов бюджета в результате применения налоговой льготы по земельному налогу, тыс. руб.</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sz w:val="24"/>
                <w:szCs w:val="24"/>
              </w:rPr>
            </w:pPr>
            <w:r>
              <w:rPr>
                <w:rFonts w:eastAsia="Calibri" w:cs="Times New Roman" w:ascii="Calibri" w:hAnsi="Calibri" w:eastAsiaTheme="minorHAnsi"/>
                <w:sz w:val="24"/>
                <w:szCs w:val="24"/>
                <w:lang w:eastAsia="en-US"/>
              </w:rPr>
              <w:t xml:space="preserve">3 </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Численность налогоплательщиков, воспользовавшихся льготой, ед.</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579" w:type="dxa"/>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4</w:t>
            </w:r>
          </w:p>
        </w:tc>
        <w:tc>
          <w:tcPr>
            <w:tcW w:w="2963" w:type="dxa"/>
            <w:gridSpan w:val="2"/>
            <w:tcBorders/>
            <w:shd w:fill="auto" w:val="clear"/>
            <w:tcMar>
              <w:left w:w="103" w:type="dxa"/>
            </w:tcMar>
          </w:tcPr>
          <w:p>
            <w:pPr>
              <w:pStyle w:val="Normal"/>
              <w:jc w:val="both"/>
              <w:rPr>
                <w:rFonts w:ascii="Times New Roman" w:hAnsi="Times New Roman" w:cs="Times New Roman"/>
              </w:rPr>
            </w:pPr>
            <w:r>
              <w:rPr>
                <w:rFonts w:eastAsia="Calibri" w:cs="Times New Roman" w:ascii="Calibri" w:hAnsi="Calibri" w:eastAsiaTheme="minorHAnsi"/>
                <w:sz w:val="22"/>
                <w:szCs w:val="22"/>
                <w:lang w:eastAsia="en-US"/>
              </w:rPr>
              <w:t>Общее количество налогоплательщиков, чел.</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r>
        <w:trPr>
          <w:trHeight w:val="380" w:hRule="atLeast"/>
        </w:trPr>
        <w:tc>
          <w:tcPr>
            <w:tcW w:w="3541" w:type="dxa"/>
            <w:gridSpan w:val="2"/>
            <w:tcBorders/>
            <w:shd w:fill="auto" w:val="clear"/>
            <w:tcMar>
              <w:left w:w="103" w:type="dxa"/>
            </w:tcMar>
          </w:tcPr>
          <w:p>
            <w:pPr>
              <w:pStyle w:val="Normal"/>
              <w:jc w:val="both"/>
              <w:rPr>
                <w:rFonts w:ascii="Times New Roman" w:hAnsi="Times New Roman" w:cs="Times New Roman"/>
              </w:rPr>
            </w:pPr>
            <w:r>
              <w:rPr>
                <w:rFonts w:eastAsia="Calibri" w:cs="" w:ascii="Calibri" w:hAnsi="Calibri" w:cstheme="minorBidi" w:eastAsiaTheme="minorHAnsi"/>
                <w:b/>
                <w:sz w:val="22"/>
                <w:szCs w:val="22"/>
                <w:lang w:eastAsia="en-US"/>
              </w:rPr>
              <w:t>Востребованность</w:t>
            </w:r>
            <w:r>
              <w:rPr>
                <w:rFonts w:eastAsia="Calibri" w:cs="" w:ascii="Calibri" w:hAnsi="Calibri" w:cstheme="minorBidi" w:eastAsiaTheme="minorHAnsi"/>
                <w:sz w:val="22"/>
                <w:szCs w:val="22"/>
                <w:lang w:eastAsia="en-US"/>
              </w:rPr>
              <w:t xml:space="preserve"> </w:t>
            </w:r>
            <w:r>
              <w:rPr>
                <w:rFonts w:eastAsia="Calibri" w:cs="" w:ascii="Calibri" w:hAnsi="Calibri" w:cstheme="minorBidi" w:eastAsiaTheme="minorHAnsi"/>
                <w:bCs/>
                <w:iCs/>
                <w:sz w:val="22"/>
                <w:szCs w:val="22"/>
                <w:lang w:eastAsia="en-US"/>
              </w:rPr>
              <w:t>(соотношение численности плательщиков, воспользовавшихся правом на льготы к общей численности плательщиков)</w:t>
            </w:r>
            <w:r>
              <w:rPr>
                <w:rFonts w:eastAsia="Calibri" w:cs="" w:ascii="Calibri" w:hAnsi="Calibri" w:cstheme="minorBidi" w:eastAsiaTheme="minorHAnsi"/>
                <w:sz w:val="22"/>
                <w:szCs w:val="22"/>
                <w:lang w:eastAsia="en-US"/>
              </w:rPr>
              <w:t>, %</w:t>
            </w:r>
          </w:p>
        </w:tc>
        <w:tc>
          <w:tcPr>
            <w:tcW w:w="96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50"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849"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94"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932" w:type="dxa"/>
            <w:gridSpan w:val="2"/>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c>
          <w:tcPr>
            <w:tcW w:w="1441" w:type="dxa"/>
            <w:gridSpan w:val="3"/>
            <w:tcBorders/>
            <w:shd w:fill="auto" w:val="clear"/>
            <w:tcMar>
              <w:left w:w="103" w:type="dxa"/>
            </w:tcMar>
          </w:tcPr>
          <w:p>
            <w:pPr>
              <w:pStyle w:val="Normal"/>
              <w:jc w:val="center"/>
              <w:rPr>
                <w:rFonts w:ascii="Times New Roman" w:hAnsi="Times New Roman" w:cs="Times New Roman"/>
              </w:rPr>
            </w:pPr>
            <w:r>
              <w:rPr>
                <w:rFonts w:eastAsia="Calibri" w:cs="Times New Roman" w:ascii="Calibri" w:hAnsi="Calibri" w:eastAsiaTheme="minorHAnsi"/>
                <w:sz w:val="22"/>
                <w:szCs w:val="22"/>
                <w:lang w:eastAsia="en-US"/>
              </w:rPr>
              <w:t>0</w:t>
            </w:r>
          </w:p>
        </w:tc>
      </w:tr>
    </w:tbl>
    <w:p>
      <w:pPr>
        <w:pStyle w:val="Normal"/>
        <w:jc w:val="both"/>
        <w:rPr>
          <w:color w:val="FF0000"/>
          <w:sz w:val="28"/>
          <w:szCs w:val="28"/>
        </w:rPr>
      </w:pPr>
      <w:r>
        <w:rPr>
          <w:color w:val="FF0000"/>
          <w:sz w:val="28"/>
          <w:szCs w:val="28"/>
        </w:rPr>
        <w:t xml:space="preserve">     </w:t>
      </w:r>
    </w:p>
    <w:p>
      <w:pPr>
        <w:pStyle w:val="Normal"/>
        <w:jc w:val="both"/>
        <w:rPr>
          <w:sz w:val="28"/>
          <w:szCs w:val="28"/>
        </w:rPr>
      </w:pPr>
      <w:r>
        <w:rPr>
          <w:sz w:val="28"/>
          <w:szCs w:val="28"/>
        </w:rPr>
        <w:t xml:space="preserve">      </w:t>
      </w:r>
      <w:r>
        <w:rPr>
          <w:sz w:val="28"/>
          <w:szCs w:val="28"/>
        </w:rPr>
        <w:t xml:space="preserve">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Pr>
          <w:b/>
          <w:bCs/>
          <w:sz w:val="28"/>
          <w:szCs w:val="28"/>
        </w:rPr>
        <w:tab/>
      </w:r>
    </w:p>
    <w:p>
      <w:pPr>
        <w:pStyle w:val="Normal"/>
        <w:jc w:val="both"/>
        <w:rPr>
          <w:b/>
          <w:b/>
          <w:bCs/>
          <w:sz w:val="28"/>
          <w:szCs w:val="28"/>
        </w:rPr>
      </w:pPr>
      <w:r>
        <w:rPr>
          <w:b/>
          <w:bCs/>
          <w:sz w:val="28"/>
          <w:szCs w:val="28"/>
        </w:rPr>
        <w:t xml:space="preserve">      </w:t>
      </w:r>
      <w:r>
        <w:rPr>
          <w:b/>
          <w:bCs/>
          <w:sz w:val="28"/>
          <w:szCs w:val="28"/>
        </w:rPr>
        <w:t xml:space="preserve">Вывод: налоговый расход носит стимулирующий характер, направлен на </w:t>
      </w:r>
      <w:r>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Pr>
          <w:b/>
          <w:bCs/>
          <w:sz w:val="28"/>
          <w:szCs w:val="28"/>
        </w:rPr>
        <w:t>.       Налоговый расход является эффективным</w:t>
      </w:r>
      <w:r>
        <w:rPr>
          <w:b/>
          <w:sz w:val="28"/>
          <w:szCs w:val="28"/>
        </w:rPr>
        <w:t xml:space="preserve"> и не требующим отмены.</w:t>
      </w:r>
      <w:r>
        <w:rPr>
          <w:b/>
          <w:bCs/>
          <w:sz w:val="28"/>
          <w:szCs w:val="28"/>
        </w:rPr>
        <w:t xml:space="preserve"> </w:t>
      </w:r>
    </w:p>
    <w:p>
      <w:pPr>
        <w:pStyle w:val="Normal"/>
        <w:jc w:val="both"/>
        <w:rPr>
          <w:b/>
          <w:b/>
          <w:bCs/>
          <w:sz w:val="28"/>
          <w:szCs w:val="28"/>
        </w:rPr>
      </w:pPr>
      <w:r>
        <w:rPr>
          <w:b/>
          <w:bCs/>
          <w:sz w:val="28"/>
          <w:szCs w:val="28"/>
        </w:rPr>
      </w:r>
    </w:p>
    <w:p>
      <w:pPr>
        <w:pStyle w:val="NoSpacing"/>
        <w:ind w:firstLine="708"/>
        <w:jc w:val="both"/>
        <w:rPr/>
      </w:pPr>
      <w:r>
        <w:rPr/>
      </w:r>
    </w:p>
    <w:sectPr>
      <w:type w:val="nextPage"/>
      <w:pgSz w:w="11906" w:h="16838"/>
      <w:pgMar w:left="1701" w:right="850" w:header="0" w:top="709"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57ef"/>
    <w:pPr>
      <w:widowControl/>
      <w:bidi w:val="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692db6"/>
    <w:pPr>
      <w:keepNext w:val="true"/>
      <w:jc w:val="center"/>
      <w:outlineLvl w:val="0"/>
    </w:pPr>
    <w:rPr>
      <w:b/>
      <w:sz w:val="28"/>
    </w:rPr>
  </w:style>
  <w:style w:type="paragraph" w:styleId="2">
    <w:name w:val="Heading 2"/>
    <w:basedOn w:val="Normal"/>
    <w:link w:val="20"/>
    <w:qFormat/>
    <w:rsid w:val="00692db6"/>
    <w:pPr>
      <w:keepNext w:val="true"/>
      <w:ind w:firstLine="5670"/>
      <w:outlineLvl w:val="1"/>
    </w:pPr>
    <w:rPr>
      <w:b/>
      <w:sz w:val="28"/>
    </w:rPr>
  </w:style>
  <w:style w:type="paragraph" w:styleId="5">
    <w:name w:val="Heading 5"/>
    <w:basedOn w:val="Normal"/>
    <w:link w:val="50"/>
    <w:qFormat/>
    <w:rsid w:val="00692db6"/>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92db6"/>
    <w:rPr>
      <w:b/>
      <w:sz w:val="28"/>
    </w:rPr>
  </w:style>
  <w:style w:type="character" w:styleId="21" w:customStyle="1">
    <w:name w:val="Заголовок 2 Знак"/>
    <w:basedOn w:val="DefaultParagraphFont"/>
    <w:link w:val="2"/>
    <w:qFormat/>
    <w:rsid w:val="00692db6"/>
    <w:rPr>
      <w:b/>
      <w:sz w:val="28"/>
    </w:rPr>
  </w:style>
  <w:style w:type="character" w:styleId="51" w:customStyle="1">
    <w:name w:val="Заголовок 5 Знак"/>
    <w:basedOn w:val="DefaultParagraphFont"/>
    <w:link w:val="5"/>
    <w:qFormat/>
    <w:rsid w:val="00692db6"/>
    <w:rPr>
      <w:b/>
      <w:bCs/>
      <w:i/>
      <w:iCs/>
      <w:sz w:val="26"/>
      <w:szCs w:val="26"/>
    </w:rPr>
  </w:style>
  <w:style w:type="character" w:styleId="Style11" w:customStyle="1">
    <w:name w:val="Текст выноски Знак"/>
    <w:basedOn w:val="DefaultParagraphFont"/>
    <w:link w:val="a4"/>
    <w:uiPriority w:val="99"/>
    <w:semiHidden/>
    <w:qFormat/>
    <w:rsid w:val="00ff34ed"/>
    <w:rPr>
      <w:rFonts w:ascii="Tahoma" w:hAnsi="Tahoma" w:cs="Tahoma"/>
      <w:sz w:val="16"/>
      <w:szCs w:val="16"/>
    </w:rPr>
  </w:style>
  <w:style w:type="character" w:styleId="Style12" w:customStyle="1">
    <w:name w:val="Без интервала Знак"/>
    <w:link w:val="a8"/>
    <w:qFormat/>
    <w:locked/>
    <w:rsid w:val="008c6d88"/>
    <w:rPr>
      <w:rFonts w:ascii="Calibri" w:hAnsi="Calibri"/>
      <w:sz w:val="22"/>
      <w:szCs w:val="22"/>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Web">
    <w:name w:val="Normal (Web)"/>
    <w:basedOn w:val="Normal"/>
    <w:uiPriority w:val="99"/>
    <w:semiHidden/>
    <w:unhideWhenUsed/>
    <w:qFormat/>
    <w:rsid w:val="000957ef"/>
    <w:pPr>
      <w:spacing w:beforeAutospacing="1" w:afterAutospacing="1"/>
    </w:pPr>
    <w:rPr>
      <w:sz w:val="24"/>
      <w:szCs w:val="24"/>
    </w:rPr>
  </w:style>
  <w:style w:type="paragraph" w:styleId="Default" w:customStyle="1">
    <w:name w:val="Default"/>
    <w:qFormat/>
    <w:rsid w:val="00112056"/>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BalloonText">
    <w:name w:val="Balloon Text"/>
    <w:basedOn w:val="Normal"/>
    <w:link w:val="a5"/>
    <w:uiPriority w:val="99"/>
    <w:semiHidden/>
    <w:unhideWhenUsed/>
    <w:qFormat/>
    <w:rsid w:val="00ff34ed"/>
    <w:pPr/>
    <w:rPr>
      <w:rFonts w:ascii="Tahoma" w:hAnsi="Tahoma" w:cs="Tahoma"/>
      <w:sz w:val="16"/>
      <w:szCs w:val="16"/>
    </w:rPr>
  </w:style>
  <w:style w:type="paragraph" w:styleId="ListParagraph">
    <w:name w:val="List Paragraph"/>
    <w:basedOn w:val="Normal"/>
    <w:uiPriority w:val="34"/>
    <w:qFormat/>
    <w:rsid w:val="000f0a0c"/>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Spacing">
    <w:name w:val="No Spacing"/>
    <w:link w:val="a9"/>
    <w:qFormat/>
    <w:rsid w:val="008c6d88"/>
    <w:pPr>
      <w:widowControl/>
      <w:bidi w:val="0"/>
      <w:jc w:val="left"/>
    </w:pPr>
    <w:rPr>
      <w:rFonts w:ascii="Calibri" w:hAnsi="Calibri" w:eastAsia="Times New Roman" w:cs="Times New Roman"/>
      <w:color w:val="00000A"/>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5c4621"/>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Application>LibreOffice/5.4.3.2$Windows_X86_64 LibreOffice_project/92a7159f7e4af62137622921e809f8546db437e5</Application>
  <Pages>6</Pages>
  <Words>1900</Words>
  <Characters>10836</Characters>
  <CharactersWithSpaces>12711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2020-10-09T07:14:00Z</dcterms:created>
  <dc:creator>ГИС ГМП</dc:creator>
  <dc:description/>
  <dc:language>ru-RU</dc:language>
  <cp:lastModifiedBy/>
  <cp:lastPrinted>2020-10-22T07:22:00Z</cp:lastPrinted>
  <dcterms:modified xsi:type="dcterms:W3CDTF">2022-11-29T20:39:36Z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