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b/>
          <w:sz w:val="24"/>
          <w:szCs w:val="24"/>
          <w:lang w:val="en-US"/>
        </w:rPr>
        <w:t>3</w:t>
      </w:r>
    </w:p>
    <w:p>
      <w:pPr>
        <w:pStyle w:val="Normal"/>
        <w:ind w:left="0" w:right="0"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righ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sz w:val="24"/>
          <w:szCs w:val="24"/>
          <w:lang w:val="en-US"/>
        </w:rPr>
        <w:t>06.11.2018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694</w:t>
      </w:r>
      <w:r>
        <w:rPr>
          <w:sz w:val="24"/>
          <w:szCs w:val="24"/>
        </w:rPr>
        <w:t xml:space="preserve">;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- постановление администрации Ивантеевского муниципального района Саратовской области от </w:t>
      </w:r>
      <w:r>
        <w:rPr>
          <w:sz w:val="24"/>
          <w:szCs w:val="24"/>
          <w:lang w:val="en-US"/>
        </w:rPr>
        <w:t>06.11.2018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695</w:t>
      </w:r>
      <w:r>
        <w:rPr>
          <w:sz w:val="24"/>
          <w:szCs w:val="24"/>
        </w:rPr>
        <w:t xml:space="preserve">;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- постановление администрации Ивантеевского муниципального района Саратовской области от </w:t>
      </w:r>
      <w:r>
        <w:rPr>
          <w:sz w:val="24"/>
          <w:szCs w:val="24"/>
          <w:lang w:val="en-US"/>
        </w:rPr>
        <w:t>06.11.2018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690;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4</w:t>
      </w:r>
      <w:r>
        <w:rPr>
          <w:sz w:val="24"/>
          <w:szCs w:val="24"/>
        </w:rPr>
        <w:t xml:space="preserve">- постановление администрации Ивантеевского муниципального района Саратовской области от </w:t>
      </w:r>
      <w:r>
        <w:rPr>
          <w:sz w:val="24"/>
          <w:szCs w:val="24"/>
          <w:lang w:val="en-US"/>
        </w:rPr>
        <w:t>06.11.2018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693</w:t>
      </w:r>
      <w:r>
        <w:rPr>
          <w:sz w:val="24"/>
          <w:szCs w:val="24"/>
        </w:rPr>
        <w:t>.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14 декабря</w:t>
      </w:r>
      <w:r>
        <w:rPr>
          <w:b/>
          <w:sz w:val="24"/>
          <w:szCs w:val="24"/>
        </w:rPr>
        <w:t xml:space="preserve"> 2018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13</w:t>
      </w:r>
      <w:r>
        <w:rPr>
          <w:b/>
          <w:bCs/>
          <w:sz w:val="24"/>
          <w:szCs w:val="24"/>
        </w:rPr>
        <w:t xml:space="preserve">.11.2018г, 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10 декабря 2018 года, 16.00 часов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  <w:highlight w:val="white"/>
        </w:rPr>
        <w:t>Дата, время, место определения участников аукциона –  11декабря</w:t>
      </w:r>
      <w:r>
        <w:rPr>
          <w:b/>
          <w:sz w:val="24"/>
          <w:szCs w:val="24"/>
        </w:rPr>
        <w:t xml:space="preserve"> 2018 г. в 11.00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 14 декабря</w:t>
      </w:r>
      <w:r>
        <w:rPr>
          <w:b/>
          <w:bCs/>
          <w:sz w:val="24"/>
          <w:szCs w:val="24"/>
        </w:rPr>
        <w:t xml:space="preserve"> 2018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19"/>
        <w:ind w:left="0" w:righ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3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3"/>
        <w:ind w:left="0" w:right="0"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10 лет:</w:t>
      </w:r>
    </w:p>
    <w:tbl>
      <w:tblPr>
        <w:tblW w:w="9707" w:type="dxa"/>
        <w:jc w:val="left"/>
        <w:tblInd w:w="0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126"/>
        <w:gridCol w:w="994"/>
        <w:gridCol w:w="1424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Саратовская область, Ивантеевский район, Раевское МО, 250м на юг от ст. Тополек, 120м на юго-запад от пересечения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ж/дороги и а/дороги Ивантеевка-ст. Тополек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sz w:val="20"/>
                <w:szCs w:val="20"/>
              </w:rPr>
              <w:t xml:space="preserve">Категория земель: </w:t>
            </w:r>
            <w:r>
              <w:rPr>
                <w:rFonts w:eastAsia="Times New Roman CYR" w:cs="Times New Roman"/>
                <w:color w:val="000000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 разрешенное использование: «Склады»,  земельный участок обременен </w:t>
            </w:r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 xml:space="preserve"> охранной зоной объекта электросетевого хозяйства 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64:14:021201:115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 (три тысячи)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 (три тысячи)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с. Ивантеевка, 30м к северу от границы земельного участка по ул. Гражданская, д.14  Категория земель: </w:t>
            </w:r>
            <w:r>
              <w:rPr>
                <w:rFonts w:eastAsia="Times New Roman CYR"/>
                <w:sz w:val="20"/>
                <w:szCs w:val="20"/>
              </w:rPr>
              <w:t>Земли населенных пунктов, разрешенное использование: «Магазины»;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64:14:220301:35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 (восемнадцать тысяч)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 (восемнадцать тысяч)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Ивантеевский район, с. Ивантеевка, справа от автодороги Ивантеевка-Знаменский, севернее АЗС.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Категория земель: </w:t>
            </w:r>
            <w:r>
              <w:rPr>
                <w:rFonts w:eastAsia="Times New Roman CYR"/>
                <w:sz w:val="20"/>
                <w:szCs w:val="20"/>
              </w:rPr>
              <w:t>Земли населенных пунктов, разрешенное использование: «Объекты придорожного сервиса»;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64:14:220101:82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215000,00 (двести пятнадцать тысяч)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6450,00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43000,00 (сорок три  тысячи)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Ивантеевский район, с. Ивантеевка, 25м на запад от 2-х этажного жилого дома № 34 по ул. Советская.</w:t>
            </w:r>
          </w:p>
          <w:p>
            <w:pPr>
              <w:pStyle w:val="Normal"/>
              <w:spacing w:lineRule="atLeast" w:line="20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Категория земель: Земли населенных пунктов, разрешенное использование: «Объекты гаражного назначения». Земельный учсасток обременен 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  <w:szCs w:val="20"/>
              </w:rPr>
              <w:t>охранной зоной объекта электросетевого хозяйства.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64:14:220435:147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(шестьсот семьдесят три) рубля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(шестьсот семьдесят три) рубля 00 копеек</w:t>
            </w:r>
          </w:p>
        </w:tc>
      </w:tr>
    </w:tbl>
    <w:p>
      <w:pPr>
        <w:pStyle w:val="Normal"/>
        <w:suppressAutoHyphens w:val="true"/>
        <w:ind w:left="0" w:right="0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Лотов1, 2,3,4 не установлены.</w:t>
      </w:r>
    </w:p>
    <w:p>
      <w:pPr>
        <w:pStyle w:val="Normal"/>
        <w:suppressAutoHyphens w:val="true"/>
        <w:ind w:left="0" w:right="0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Электроснабжение возможно от источника питания ВЛ-10кВ опора №3-34/12 ВЛ-1003 ПС 110/35/10кВ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№71/7 от 27.12.2017г </w:t>
      </w:r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  <w:lang w:val="ru-RU"/>
        </w:rPr>
        <w:t>отсутствует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 2:</w:t>
      </w:r>
      <w:r>
        <w:rPr>
          <w:sz w:val="24"/>
          <w:szCs w:val="24"/>
        </w:rPr>
        <w:t xml:space="preserve"> </w:t>
      </w:r>
      <w:bookmarkStart w:id="0" w:name="__DdeLink__909_897253018"/>
      <w:r>
        <w:rPr>
          <w:sz w:val="24"/>
          <w:szCs w:val="24"/>
        </w:rPr>
        <w:t xml:space="preserve">Техническая возможность электроснабжения данного участка имеется. Возможно подключение от ВЛ-0,4кВ КТП № 700 ВЛ-1006 ПС 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  <w:bookmarkEnd w:id="0"/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r>
        <w:rPr>
          <w:sz w:val="24"/>
          <w:szCs w:val="24"/>
        </w:rPr>
        <w:t xml:space="preserve">Водоснабжение объекта по </w:t>
      </w:r>
      <w:r>
        <w:rPr>
          <w:sz w:val="24"/>
          <w:szCs w:val="24"/>
          <w:u w:val="none"/>
        </w:rPr>
        <w:t>одному</w:t>
      </w:r>
      <w:r>
        <w:rPr>
          <w:sz w:val="24"/>
          <w:szCs w:val="24"/>
        </w:rPr>
        <w:t xml:space="preserve"> вводу водопровода расчетного диаметра с подключением к техническому водопроводу чугун диаметром - 50  с  ул. Гражданская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right="0" w:hanging="5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right="0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suppressAutoHyphens w:val="true"/>
        <w:ind w:left="170" w:right="0" w:firstLine="4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№3</w:t>
      </w:r>
      <w:r>
        <w:rPr>
          <w:sz w:val="24"/>
          <w:szCs w:val="24"/>
        </w:rPr>
        <w:t xml:space="preserve">: Техническая возможность электроснабжения данного участка имеется. Возможно подключение от ВЛ-1010 ПС 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  <w:lang w:val="ru-RU"/>
        </w:rPr>
        <w:t>отутствует.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 4:</w:t>
      </w:r>
      <w:r>
        <w:rPr>
          <w:sz w:val="24"/>
          <w:szCs w:val="24"/>
        </w:rPr>
        <w:t xml:space="preserve"> Техническая возможность электроснабжения данного участка имеется. Возможно подключение от ВЛ-0,4кВ КТП № 711 ВЛ-1006 ПС 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r>
        <w:rPr>
          <w:sz w:val="24"/>
          <w:szCs w:val="24"/>
        </w:rPr>
        <w:t>Водоснабжение объекта по</w:t>
      </w:r>
      <w:r>
        <w:rPr>
          <w:sz w:val="24"/>
          <w:szCs w:val="24"/>
          <w:u w:val="none"/>
        </w:rPr>
        <w:t xml:space="preserve"> одному</w:t>
      </w:r>
      <w:r>
        <w:rPr>
          <w:sz w:val="24"/>
          <w:szCs w:val="24"/>
        </w:rPr>
        <w:t xml:space="preserve"> вводу водопровода расчетного диаметра с подключением к техническому водопроводу ПЭ диаметром - 63  с  ул. Советская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Style25"/>
        <w:shd w:val="clear" w:fill="FFFFFF"/>
        <w:spacing w:lineRule="atLeast" w:line="272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right="0" w:hanging="5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right="0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suppressAutoHyphens w:val="true"/>
        <w:ind w:left="170" w:right="0" w:firstLine="44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3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 xml:space="preserve">Срок и порядок внесения задатка: 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40302810322025630223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Финансовое управление Ивантеевского муниципального района Саратовской области (л\с 007010005);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6414001666;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платежа:  перечисление задатка для участия в торгах.</w:t>
      </w:r>
    </w:p>
    <w:p>
      <w:pPr>
        <w:pStyle w:val="Style23"/>
        <w:ind w:left="0" w:right="0"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Задаток должен поступить на счет Продавца не позднее  10 декабря 2018 г.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2">
        <w:r>
          <w:rPr>
            <w:rStyle w:val="ListLabel20"/>
            <w:rFonts w:cs="Times New Roman"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ListLabel20"/>
            <w:rFonts w:cs="Times New Roman"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4">
        <w:r>
          <w:rPr>
            <w:rStyle w:val="ListLabel20"/>
            <w:rFonts w:cs="Times New Roman"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1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1"/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left="0" w:right="0"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5">
        <w:r>
          <w:rPr>
            <w:rStyle w:val="Style15"/>
            <w:sz w:val="24"/>
            <w:szCs w:val="24"/>
          </w:rPr>
          <w:t>http://</w:t>
        </w:r>
      </w:hyperlink>
      <w:hyperlink r:id="rId6">
        <w:r>
          <w:rPr>
            <w:rStyle w:val="Style15"/>
            <w:sz w:val="24"/>
            <w:szCs w:val="24"/>
            <w:lang w:val="en-US"/>
          </w:rPr>
          <w:t>new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hanging="0"/>
        <w:jc w:val="both"/>
        <w:rPr/>
      </w:pPr>
      <w:r>
        <w:rPr>
          <w:b/>
          <w:sz w:val="24"/>
          <w:szCs w:val="24"/>
        </w:rPr>
        <w:t xml:space="preserve">Глава Ивантеевского 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hanging="0"/>
        <w:jc w:val="both"/>
        <w:rPr/>
      </w:pPr>
      <w:r>
        <w:rPr>
          <w:b/>
          <w:sz w:val="24"/>
          <w:szCs w:val="24"/>
        </w:rPr>
        <w:t>муниципального района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hanging="0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Саратовской области                                                                                          В.В. Басов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right="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</w:t>
      </w:r>
    </w:p>
    <w:p>
      <w:pPr>
        <w:pStyle w:val="Normal"/>
        <w:ind w:left="6480" w:right="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/>
      </w:pPr>
      <w:bookmarkStart w:id="2" w:name="OLE_LINK5"/>
      <w:bookmarkStart w:id="3" w:name="OLE_LINK6"/>
      <w:r>
        <w:rPr/>
        <w:t>______________________________________________________________________________________________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организатора аукциона)</w:t>
      </w:r>
      <w:bookmarkEnd w:id="2"/>
      <w:bookmarkEnd w:id="3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9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96"/>
      </w:tblGrid>
      <w:tr>
        <w:trPr>
          <w:trHeight w:val="1124" w:hRule="atLeast"/>
        </w:trPr>
        <w:tc>
          <w:tcPr>
            <w:tcW w:w="104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……………………………………………………………………………………………………………………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30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>
        <w:trPr>
          <w:trHeight w:val="187" w:hRule="atLeast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9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237"/>
        <w:gridCol w:w="209"/>
        <w:gridCol w:w="231"/>
        <w:gridCol w:w="213"/>
        <w:gridCol w:w="228"/>
        <w:gridCol w:w="218"/>
        <w:gridCol w:w="218"/>
        <w:gridCol w:w="228"/>
        <w:gridCol w:w="213"/>
        <w:gridCol w:w="233"/>
        <w:gridCol w:w="208"/>
        <w:gridCol w:w="238"/>
        <w:gridCol w:w="203"/>
        <w:gridCol w:w="243"/>
        <w:gridCol w:w="202"/>
        <w:gridCol w:w="4"/>
        <w:gridCol w:w="240"/>
        <w:gridCol w:w="197"/>
        <w:gridCol w:w="164"/>
        <w:gridCol w:w="85"/>
        <w:gridCol w:w="226"/>
        <w:gridCol w:w="231"/>
        <w:gridCol w:w="68"/>
        <w:gridCol w:w="378"/>
        <w:gridCol w:w="231"/>
        <w:gridCol w:w="215"/>
        <w:gridCol w:w="386"/>
        <w:gridCol w:w="60"/>
        <w:gridCol w:w="446"/>
        <w:gridCol w:w="105"/>
        <w:gridCol w:w="341"/>
        <w:gridCol w:w="264"/>
        <w:gridCol w:w="182"/>
        <w:gridCol w:w="422"/>
        <w:gridCol w:w="75"/>
        <w:gridCol w:w="447"/>
        <w:gridCol w:w="122"/>
        <w:gridCol w:w="326"/>
        <w:gridCol w:w="280"/>
        <w:gridCol w:w="168"/>
        <w:gridCol w:w="508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55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2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7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bookmarkStart w:id="4" w:name="_GoBack"/>
      <w:bookmarkEnd w:id="4"/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_______________________________________________________________________,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left="0" w:right="0"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3"/>
        <w:ind w:left="0" w:right="0"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3"/>
        <w:ind w:left="0" w:right="0"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3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3"/>
        <w:ind w:left="0" w:right="0"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1 - кадастровый паспорт Участка.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– расчет арендной платы.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3 -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 xml:space="preserve"> </w:t>
      </w:r>
      <w:r>
        <w:rPr/>
        <w:t xml:space="preserve">«_____» </w:t>
        <w:softHyphen/>
        <w:softHyphen/>
        <w:softHyphen/>
        <w:softHyphen/>
        <w:softHyphen/>
        <w:softHyphen/>
        <w:softHyphen/>
        <w:softHyphen/>
        <w:softHyphen/>
        <w:t xml:space="preserve">_________ № ______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</w:r>
    </w:p>
    <w:p>
      <w:pPr>
        <w:pStyle w:val="Normal"/>
        <w:widowControl w:val="false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left="0" w:right="0"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left="0"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0" w:right="0"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left="0" w:right="0"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left="0" w:righ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left="0"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left="0"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>
    <w:name w:val="Default Paragraph Font"/>
    <w:qFormat/>
    <w:rPr/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  <w:lang w:val="en-US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  <w:lang w:val="en-U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  <w:lang w:val="en-US"/>
    </w:rPr>
  </w:style>
  <w:style w:type="character" w:styleId="ListLabel59">
    <w:name w:val="ListLabel 59"/>
    <w:qFormat/>
    <w:rPr>
      <w:rFonts w:ascii="Times New Roman" w:hAnsi="Times New Roman"/>
      <w:b/>
      <w:sz w:val="24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  <w:lang w:val="en-US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  <w:lang w:val="en-US"/>
    </w:rPr>
  </w:style>
  <w:style w:type="character" w:styleId="ListLabel83">
    <w:name w:val="ListLabel 83"/>
    <w:qFormat/>
    <w:rPr>
      <w:rFonts w:ascii="Times New Roman" w:hAnsi="Times New Roman"/>
      <w:b/>
      <w:sz w:val="24"/>
    </w:rPr>
  </w:style>
  <w:style w:type="character" w:styleId="ListLabel84">
    <w:name w:val="ListLabel 84"/>
    <w:qFormat/>
    <w:rPr>
      <w:color w:val="000000"/>
    </w:rPr>
  </w:style>
  <w:style w:type="character" w:styleId="ListLabel85">
    <w:name w:val="ListLabel 85"/>
    <w:qFormat/>
    <w:rPr>
      <w:color w:val="000000"/>
    </w:rPr>
  </w:style>
  <w:style w:type="character" w:styleId="ListLabel86">
    <w:name w:val="ListLabel 86"/>
    <w:qFormat/>
    <w:rPr>
      <w:color w:val="000000"/>
    </w:rPr>
  </w:style>
  <w:style w:type="character" w:styleId="ListLabel87">
    <w:name w:val="ListLabel 87"/>
    <w:qFormat/>
    <w:rPr>
      <w:color w:val="000000"/>
    </w:rPr>
  </w:style>
  <w:style w:type="character" w:styleId="ListLabel88">
    <w:name w:val="ListLabel 88"/>
    <w:qFormat/>
    <w:rPr>
      <w:color w:val="000000"/>
    </w:rPr>
  </w:style>
  <w:style w:type="character" w:styleId="ListLabel89">
    <w:name w:val="ListLabel 89"/>
    <w:qFormat/>
    <w:rPr>
      <w:color w:val="000000"/>
    </w:rPr>
  </w:style>
  <w:style w:type="character" w:styleId="ListLabel90">
    <w:name w:val="ListLabel 90"/>
    <w:qFormat/>
    <w:rPr>
      <w:color w:val="000000"/>
    </w:rPr>
  </w:style>
  <w:style w:type="character" w:styleId="ListLabel91">
    <w:name w:val="ListLabel 91"/>
    <w:qFormat/>
    <w:rPr>
      <w:color w:val="000000"/>
    </w:rPr>
  </w:style>
  <w:style w:type="character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  <w:lang w:val="en-US"/>
    </w:rPr>
  </w:style>
  <w:style w:type="character" w:styleId="ListLabel95">
    <w:name w:val="ListLabel 95"/>
    <w:qFormat/>
    <w:rPr>
      <w:rFonts w:ascii="Times New Roman" w:hAnsi="Times New Roman"/>
      <w:b/>
      <w:sz w:val="24"/>
    </w:rPr>
  </w:style>
  <w:style w:type="character" w:styleId="ListLabel96">
    <w:name w:val="ListLabel 96"/>
    <w:qFormat/>
    <w:rPr>
      <w:color w:val="000000"/>
    </w:rPr>
  </w:style>
  <w:style w:type="character" w:styleId="ListLabel97">
    <w:name w:val="ListLabel 97"/>
    <w:qFormat/>
    <w:rPr>
      <w:color w:val="000000"/>
    </w:rPr>
  </w:style>
  <w:style w:type="character" w:styleId="ListLabel98">
    <w:name w:val="ListLabel 98"/>
    <w:qFormat/>
    <w:rPr>
      <w:color w:val="000000"/>
    </w:rPr>
  </w:style>
  <w:style w:type="character" w:styleId="ListLabel99">
    <w:name w:val="ListLabel 99"/>
    <w:qFormat/>
    <w:rPr>
      <w:color w:val="000000"/>
    </w:rPr>
  </w:style>
  <w:style w:type="character" w:styleId="ListLabel100">
    <w:name w:val="ListLabel 100"/>
    <w:qFormat/>
    <w:rPr>
      <w:color w:val="000000"/>
    </w:rPr>
  </w:style>
  <w:style w:type="character" w:styleId="ListLabel101">
    <w:name w:val="ListLabel 101"/>
    <w:qFormat/>
    <w:rPr>
      <w:color w:val="000000"/>
    </w:rPr>
  </w:style>
  <w:style w:type="character" w:styleId="ListLabel102">
    <w:name w:val="ListLabel 102"/>
    <w:qFormat/>
    <w:rPr>
      <w:color w:val="000000"/>
    </w:rPr>
  </w:style>
  <w:style w:type="character" w:styleId="ListLabel103">
    <w:name w:val="ListLabel 103"/>
    <w:qFormat/>
    <w:rPr>
      <w:color w:val="000000"/>
    </w:rPr>
  </w:style>
  <w:style w:type="character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  <w:lang w:val="en-US"/>
    </w:rPr>
  </w:style>
  <w:style w:type="character" w:styleId="ListLabel107">
    <w:name w:val="ListLabel 107"/>
    <w:qFormat/>
    <w:rPr>
      <w:rFonts w:ascii="Times New Roman" w:hAnsi="Times New Roman"/>
      <w:b/>
      <w:sz w:val="24"/>
    </w:rPr>
  </w:style>
  <w:style w:type="character" w:styleId="ListLabel108">
    <w:name w:val="ListLabel 108"/>
    <w:qFormat/>
    <w:rPr>
      <w:color w:val="000000"/>
    </w:rPr>
  </w:style>
  <w:style w:type="character" w:styleId="ListLabel109">
    <w:name w:val="ListLabel 109"/>
    <w:qFormat/>
    <w:rPr>
      <w:color w:val="000000"/>
    </w:rPr>
  </w:style>
  <w:style w:type="character" w:styleId="ListLabel110">
    <w:name w:val="ListLabel 110"/>
    <w:qFormat/>
    <w:rPr>
      <w:color w:val="000000"/>
    </w:rPr>
  </w:style>
  <w:style w:type="character" w:styleId="ListLabel111">
    <w:name w:val="ListLabel 111"/>
    <w:qFormat/>
    <w:rPr>
      <w:color w:val="000000"/>
    </w:rPr>
  </w:style>
  <w:style w:type="character" w:styleId="ListLabel112">
    <w:name w:val="ListLabel 112"/>
    <w:qFormat/>
    <w:rPr>
      <w:color w:val="000000"/>
    </w:rPr>
  </w:style>
  <w:style w:type="character" w:styleId="ListLabel113">
    <w:name w:val="ListLabel 113"/>
    <w:qFormat/>
    <w:rPr>
      <w:color w:val="000000"/>
    </w:rPr>
  </w:style>
  <w:style w:type="character" w:styleId="ListLabel114">
    <w:name w:val="ListLabel 114"/>
    <w:qFormat/>
    <w:rPr>
      <w:color w:val="000000"/>
    </w:rPr>
  </w:style>
  <w:style w:type="character" w:styleId="ListLabel115">
    <w:name w:val="ListLabel 115"/>
    <w:qFormat/>
    <w:rPr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  <w:lang w:val="en-US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  <w:lang w:val="en-US"/>
    </w:rPr>
  </w:style>
  <w:style w:type="character" w:styleId="ListLabel131">
    <w:name w:val="ListLabel 131"/>
    <w:qFormat/>
    <w:rPr>
      <w:rFonts w:ascii="Times New Roman" w:hAnsi="Times New Roman"/>
      <w:b/>
      <w:sz w:val="24"/>
    </w:rPr>
  </w:style>
  <w:style w:type="character" w:styleId="ListLabel132">
    <w:name w:val="ListLabel 132"/>
    <w:qFormat/>
    <w:rPr>
      <w:color w:val="000000"/>
    </w:rPr>
  </w:style>
  <w:style w:type="character" w:styleId="ListLabel133">
    <w:name w:val="ListLabel 133"/>
    <w:qFormat/>
    <w:rPr>
      <w:color w:val="000000"/>
    </w:rPr>
  </w:style>
  <w:style w:type="character" w:styleId="ListLabel134">
    <w:name w:val="ListLabel 134"/>
    <w:qFormat/>
    <w:rPr>
      <w:color w:val="000000"/>
    </w:rPr>
  </w:style>
  <w:style w:type="character" w:styleId="ListLabel135">
    <w:name w:val="ListLabel 135"/>
    <w:qFormat/>
    <w:rPr>
      <w:color w:val="000000"/>
    </w:rPr>
  </w:style>
  <w:style w:type="character" w:styleId="ListLabel136">
    <w:name w:val="ListLabel 136"/>
    <w:qFormat/>
    <w:rPr>
      <w:color w:val="000000"/>
    </w:rPr>
  </w:style>
  <w:style w:type="character" w:styleId="ListLabel137">
    <w:name w:val="ListLabel 137"/>
    <w:qFormat/>
    <w:rPr>
      <w:color w:val="000000"/>
    </w:rPr>
  </w:style>
  <w:style w:type="character" w:styleId="ListLabel138">
    <w:name w:val="ListLabel 138"/>
    <w:qFormat/>
    <w:rPr>
      <w:color w:val="000000"/>
    </w:rPr>
  </w:style>
  <w:style w:type="character" w:styleId="ListLabel139">
    <w:name w:val="ListLabel 139"/>
    <w:qFormat/>
    <w:rPr>
      <w:color w:val="000000"/>
    </w:rPr>
  </w:style>
  <w:style w:type="character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  <w:lang w:val="en-US"/>
    </w:rPr>
  </w:style>
  <w:style w:type="character" w:styleId="ListLabel143">
    <w:name w:val="ListLabel 143"/>
    <w:qFormat/>
    <w:rPr>
      <w:rFonts w:ascii="Times New Roman" w:hAnsi="Times New Roman"/>
      <w:b/>
      <w:sz w:val="24"/>
    </w:rPr>
  </w:style>
  <w:style w:type="character" w:styleId="ListLabel144">
    <w:name w:val="ListLabel 144"/>
    <w:qFormat/>
    <w:rPr>
      <w:color w:val="000000"/>
    </w:rPr>
  </w:style>
  <w:style w:type="character" w:styleId="ListLabel145">
    <w:name w:val="ListLabel 145"/>
    <w:qFormat/>
    <w:rPr>
      <w:color w:val="000000"/>
    </w:rPr>
  </w:style>
  <w:style w:type="character" w:styleId="ListLabel146">
    <w:name w:val="ListLabel 146"/>
    <w:qFormat/>
    <w:rPr>
      <w:color w:val="000000"/>
    </w:rPr>
  </w:style>
  <w:style w:type="character" w:styleId="ListLabel147">
    <w:name w:val="ListLabel 147"/>
    <w:qFormat/>
    <w:rPr>
      <w:color w:val="000000"/>
    </w:rPr>
  </w:style>
  <w:style w:type="character" w:styleId="ListLabel148">
    <w:name w:val="ListLabel 148"/>
    <w:qFormat/>
    <w:rPr>
      <w:color w:val="000000"/>
    </w:rPr>
  </w:style>
  <w:style w:type="character" w:styleId="ListLabel149">
    <w:name w:val="ListLabel 149"/>
    <w:qFormat/>
    <w:rPr>
      <w:color w:val="000000"/>
    </w:rPr>
  </w:style>
  <w:style w:type="character" w:styleId="ListLabel150">
    <w:name w:val="ListLabel 150"/>
    <w:qFormat/>
    <w:rPr>
      <w:color w:val="000000"/>
    </w:rPr>
  </w:style>
  <w:style w:type="character" w:styleId="ListLabel151">
    <w:name w:val="ListLabel 151"/>
    <w:qFormat/>
    <w:rPr>
      <w:color w:val="000000"/>
    </w:rPr>
  </w:style>
  <w:style w:type="character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  <w:lang w:val="en-US"/>
    </w:rPr>
  </w:style>
  <w:style w:type="character" w:styleId="ListLabel155">
    <w:name w:val="ListLabel 155"/>
    <w:qFormat/>
    <w:rPr>
      <w:rFonts w:ascii="Times New Roman" w:hAnsi="Times New Roman"/>
      <w:b/>
      <w:sz w:val="24"/>
    </w:rPr>
  </w:style>
  <w:style w:type="character" w:styleId="ListLabel156">
    <w:name w:val="ListLabel 156"/>
    <w:qFormat/>
    <w:rPr>
      <w:color w:val="000000"/>
    </w:rPr>
  </w:style>
  <w:style w:type="character" w:styleId="ListLabel157">
    <w:name w:val="ListLabel 157"/>
    <w:qFormat/>
    <w:rPr>
      <w:color w:val="000000"/>
    </w:rPr>
  </w:style>
  <w:style w:type="character" w:styleId="ListLabel158">
    <w:name w:val="ListLabel 158"/>
    <w:qFormat/>
    <w:rPr>
      <w:color w:val="000000"/>
    </w:rPr>
  </w:style>
  <w:style w:type="character" w:styleId="ListLabel159">
    <w:name w:val="ListLabel 159"/>
    <w:qFormat/>
    <w:rPr>
      <w:color w:val="000000"/>
    </w:rPr>
  </w:style>
  <w:style w:type="character" w:styleId="ListLabel160">
    <w:name w:val="ListLabel 160"/>
    <w:qFormat/>
    <w:rPr>
      <w:color w:val="000000"/>
    </w:rPr>
  </w:style>
  <w:style w:type="character" w:styleId="ListLabel161">
    <w:name w:val="ListLabel 161"/>
    <w:qFormat/>
    <w:rPr>
      <w:color w:val="000000"/>
    </w:rPr>
  </w:style>
  <w:style w:type="character" w:styleId="ListLabel162">
    <w:name w:val="ListLabel 162"/>
    <w:qFormat/>
    <w:rPr>
      <w:color w:val="000000"/>
    </w:rPr>
  </w:style>
  <w:style w:type="character" w:styleId="ListLabel163">
    <w:name w:val="ListLabel 163"/>
    <w:qFormat/>
    <w:rPr>
      <w:color w:val="000000"/>
    </w:rPr>
  </w:style>
  <w:style w:type="character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styleId="ListLabel165">
    <w:name w:val="ListLabel 165"/>
    <w:qFormat/>
    <w:rPr>
      <w:sz w:val="24"/>
      <w:szCs w:val="24"/>
    </w:rPr>
  </w:style>
  <w:style w:type="character" w:styleId="ListLabel166">
    <w:name w:val="ListLabel 166"/>
    <w:qFormat/>
    <w:rPr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jc w:val="center"/>
    </w:pPr>
    <w:rPr>
      <w:sz w:val="22"/>
      <w:szCs w:val="22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4">
    <w:name w:val="готик текст"/>
    <w:qFormat/>
    <w:pPr>
      <w:widowControl/>
      <w:tabs>
        <w:tab w:val="right" w:pos="4762" w:leader="dot"/>
      </w:tabs>
      <w:overflowPunct w:val="fals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>
    <w:name w:val="Без интервала1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>
    <w:name w:val="Основной текст (2)"/>
    <w:basedOn w:val="Normal"/>
    <w:qFormat/>
    <w:pPr>
      <w:widowControl w:val="false"/>
      <w:shd w:val="clear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Style25">
    <w:name w:val="Обычный (веб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7F625AD85D2B345EC666D9FC4CF5D3AAEE994FB927D112B3F4619F8B85FFA58CBB4AD7246sCCFO" TargetMode="External"/><Relationship Id="rId3" Type="http://schemas.openxmlformats.org/officeDocument/2006/relationships/hyperlink" Target="consultantplus://offline/ref=B7F625AD85D2B345EC666D9FC4CF5D3AAEE994FB927D112B3F4619F8B85FFA58CBB4AD7247sCC6O" TargetMode="External"/><Relationship Id="rId4" Type="http://schemas.openxmlformats.org/officeDocument/2006/relationships/hyperlink" Target="consultantplus://offline/ref=B7F625AD85D2B345EC666D9FC4CF5D3AAEE994FB927D112B3F4619F8B85FFA58CBB4AD734EsCC4O" TargetMode="External"/><Relationship Id="rId5" Type="http://schemas.openxmlformats.org/officeDocument/2006/relationships/hyperlink" Target="http://new.ivanteevka.sarmo.ru/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Application>LibreOffice/6.0.2.1$Windows_x86 LibreOffice_project/f7f06a8f319e4b62f9bc5095aa112a65d2f3ac89</Application>
  <Pages>19</Pages>
  <Words>5038</Words>
  <Characters>38580</Characters>
  <CharactersWithSpaces>43941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2018-11-12T08:48:04Z</cp:lastPrinted>
  <dcterms:modified xsi:type="dcterms:W3CDTF">2018-11-12T10:31:08Z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