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964" y="0"/>
                <wp:lineTo x="-964" y="20063"/>
                <wp:lineTo x="21241" y="20063"/>
                <wp:lineTo x="21241" y="0"/>
                <wp:lineTo x="-96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17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марта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6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11"/>
        <w:gridCol w:w="3554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6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Март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5180" cy="520700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0" cy="52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Извещение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№2 о проведении открытого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2</w:t>
      </w:r>
    </w:p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firstLine="567"/>
        <w:contextualSpacing/>
        <w:jc w:val="both"/>
        <w:rPr/>
      </w:pPr>
      <w:r>
        <w:rPr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9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10.03.2021г.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104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9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106</w:t>
      </w:r>
      <w:r>
        <w:rPr>
          <w:b w:val="false"/>
          <w:bCs w:val="false"/>
          <w:color w:val="000000"/>
          <w:sz w:val="20"/>
          <w:szCs w:val="20"/>
        </w:rPr>
        <w:t>,</w:t>
      </w:r>
    </w:p>
    <w:p>
      <w:pPr>
        <w:pStyle w:val="Style19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105;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П</w:t>
      </w:r>
      <w:r>
        <w:rPr>
          <w:b w:val="false"/>
          <w:bCs w:val="false"/>
          <w:color w:val="000000"/>
          <w:sz w:val="20"/>
          <w:szCs w:val="20"/>
        </w:rPr>
        <w:t xml:space="preserve">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10.03.2021г.</w:t>
      </w:r>
      <w:r>
        <w:rPr>
          <w:b w:val="false"/>
          <w:bCs w:val="false"/>
          <w:color w:val="000000"/>
          <w:sz w:val="20"/>
          <w:szCs w:val="20"/>
        </w:rPr>
        <w:t xml:space="preserve"> № </w:t>
      </w:r>
      <w:r>
        <w:rPr>
          <w:rFonts w:eastAsia="Times New Roman" w:cs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>107.</w:t>
      </w:r>
    </w:p>
    <w:p>
      <w:pPr>
        <w:pStyle w:val="Style19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14</w:t>
      </w:r>
      <w:r>
        <w:rPr>
          <w:b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shd w:fill="FFFFFF" w:val="clear"/>
          <w:lang w:val="ru-RU" w:eastAsia="ru-RU" w:bidi="ar-SA"/>
        </w:rPr>
        <w:t>апреля</w:t>
      </w:r>
      <w:r>
        <w:rPr>
          <w:b/>
          <w:sz w:val="20"/>
          <w:szCs w:val="20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sz w:val="20"/>
          <w:szCs w:val="20"/>
        </w:rPr>
        <w:t xml:space="preserve"> г. в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10</w:t>
      </w:r>
      <w:r>
        <w:rPr>
          <w:b/>
          <w:sz w:val="20"/>
          <w:szCs w:val="20"/>
        </w:rPr>
        <w:t>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Место, срок подведения итогов аукциона, порядок определения победителей аукциона: аукцион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19</w:t>
      </w:r>
      <w:r>
        <w:rPr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апреля</w:t>
      </w:r>
      <w:r>
        <w:rPr>
          <w:b/>
          <w:bCs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bCs/>
          <w:sz w:val="20"/>
          <w:szCs w:val="20"/>
        </w:rPr>
        <w:t xml:space="preserve"> года в 10.00</w:t>
      </w:r>
      <w:r>
        <w:rPr>
          <w:bCs/>
          <w:sz w:val="20"/>
          <w:szCs w:val="20"/>
        </w:rPr>
        <w:t xml:space="preserve"> часов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  <w:sz w:val="20"/>
          <w:szCs w:val="20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19 апреля</w:t>
      </w:r>
      <w:r>
        <w:rPr>
          <w:b/>
          <w:bCs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</w:t>
      </w:r>
      <w:r>
        <w:rPr>
          <w:b/>
          <w:bCs/>
          <w:sz w:val="20"/>
          <w:szCs w:val="20"/>
        </w:rPr>
        <w:t xml:space="preserve"> года в 09.30 часов</w:t>
      </w:r>
      <w:r>
        <w:rPr>
          <w:sz w:val="20"/>
          <w:szCs w:val="20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>
          <w:sz w:val="20"/>
          <w:szCs w:val="20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9"/>
        <w:ind w:firstLine="567"/>
        <w:jc w:val="both"/>
        <w:rPr/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firstLine="567"/>
        <w:jc w:val="both"/>
        <w:rPr/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9"/>
        <w:ind w:firstLine="567"/>
        <w:jc w:val="both"/>
        <w:rPr/>
      </w:pPr>
      <w:r>
        <w:rPr>
          <w:b/>
          <w:sz w:val="20"/>
          <w:szCs w:val="20"/>
        </w:rPr>
        <w:t xml:space="preserve">Сумма задатка: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5</w:t>
      </w:r>
      <w:r>
        <w:rPr>
          <w:b/>
          <w:bCs/>
          <w:sz w:val="20"/>
          <w:szCs w:val="20"/>
        </w:rPr>
        <w:t>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9"/>
        <w:ind w:firstLine="567"/>
        <w:jc w:val="both"/>
        <w:rPr/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Style23"/>
        <w:ind w:firstLine="567"/>
        <w:jc w:val="both"/>
        <w:rPr/>
      </w:pPr>
      <w:r>
        <w:rPr>
          <w:color w:val="000000"/>
          <w:sz w:val="20"/>
          <w:szCs w:val="2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>
      <w:pPr>
        <w:pStyle w:val="Style23"/>
        <w:ind w:firstLine="567"/>
        <w:rPr/>
      </w:pPr>
      <w:r>
        <w:rPr>
          <w:sz w:val="20"/>
          <w:szCs w:val="20"/>
        </w:rPr>
        <w:t>Заявки на участие в аукционе подаются по 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9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13апреля</w:t>
      </w:r>
      <w:r>
        <w:rPr>
          <w:b/>
          <w:bCs/>
          <w:sz w:val="20"/>
          <w:szCs w:val="20"/>
        </w:rPr>
        <w:t xml:space="preserve"> 2021 года,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ru-RU" w:bidi="ar-SA"/>
        </w:rPr>
        <w:t>16</w:t>
      </w:r>
      <w:r>
        <w:rPr>
          <w:b/>
          <w:bCs/>
          <w:sz w:val="20"/>
          <w:szCs w:val="20"/>
        </w:rPr>
        <w:t>.00 часов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 (по местному времени)</w:t>
      </w:r>
    </w:p>
    <w:p>
      <w:pPr>
        <w:pStyle w:val="Style23"/>
        <w:numPr>
          <w:ilvl w:val="0"/>
          <w:numId w:val="2"/>
        </w:numPr>
        <w:rPr/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3"/>
        <w:ind w:hanging="0"/>
        <w:rPr/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1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645"/>
        <w:gridCol w:w="1070"/>
        <w:gridCol w:w="1442"/>
        <w:gridCol w:w="1021"/>
        <w:gridCol w:w="1484"/>
      </w:tblGrid>
      <w:tr>
        <w:trPr>
          <w:trHeight w:val="67" w:hRule="atLeast"/>
          <w:cantSplit w:val="true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6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Начальная цена –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кадастровая</w:t>
            </w:r>
            <w:r>
              <w:rPr/>
              <w:t xml:space="preserve"> стоимость (руб.)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22м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18м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14м к юго-западу от д.№26 по ул. Зеленая (нежилое здание)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348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 северо-западной границы земельного участка по ул.Юбилейная, д.1</w:t>
            </w:r>
            <w:r>
              <w:rPr/>
              <w:t>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/>
              <w:t>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/>
              <w:t>».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220434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4466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134</w:t>
            </w:r>
            <w:r>
              <w:rPr/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2233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двести тридцать три</w:t>
            </w:r>
            <w:r>
              <w:rPr/>
              <w:t>)</w:t>
            </w:r>
          </w:p>
        </w:tc>
      </w:tr>
    </w:tbl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570" w:leader="none"/>
        </w:tabs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b/>
          <w:sz w:val="22"/>
          <w:szCs w:val="22"/>
        </w:rPr>
        <w:t>Параметры разрешенного строительства объектов капитального строительства, для лот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а</w:t>
      </w:r>
      <w:r>
        <w:rPr>
          <w:b/>
          <w:sz w:val="22"/>
          <w:szCs w:val="22"/>
        </w:rPr>
        <w:t xml:space="preserve"> №1, №2, №3, №4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sz w:val="22"/>
          <w:szCs w:val="22"/>
        </w:rPr>
        <w:t xml:space="preserve"> муниципального образования Ивантеевского муниципального района Саратовской области: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rFonts w:eastAsia="SimSun"/>
          <w:color w:val="000000"/>
          <w:kern w:val="2"/>
          <w:sz w:val="22"/>
          <w:szCs w:val="22"/>
          <w:lang w:eastAsia="ar-SA"/>
        </w:rPr>
        <w:t>максимальная ширина земельных участков 32м.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  <w:tab w:val="left" w:pos="142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2. максимальное количество этажей зданий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3</w:t>
      </w:r>
      <w:r>
        <w:rPr>
          <w:rFonts w:eastAsia="SimSun"/>
          <w:kern w:val="2"/>
          <w:sz w:val="22"/>
          <w:szCs w:val="22"/>
          <w:lang w:eastAsia="ar-SA"/>
        </w:rPr>
        <w:t xml:space="preserve">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>
        <w:rPr>
          <w:rFonts w:eastAsia="SimSun" w:cs="Times New Roman"/>
          <w:color w:val="auto"/>
          <w:kern w:val="2"/>
          <w:sz w:val="22"/>
          <w:szCs w:val="22"/>
          <w:lang w:val="ru-RU" w:eastAsia="ar-SA" w:bidi="ar-SA"/>
        </w:rPr>
        <w:t>12</w:t>
      </w:r>
      <w:r>
        <w:rPr>
          <w:rFonts w:eastAsia="SimSun"/>
          <w:kern w:val="2"/>
          <w:sz w:val="22"/>
          <w:szCs w:val="22"/>
          <w:lang w:eastAsia="ar-SA"/>
        </w:rPr>
        <w:t xml:space="preserve">м;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>4. максимальный процент застройки участка – 60%;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5м;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6. минимальный отступ от границ соседнего участка до жилого дома – 3м;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7. минимальный отступ от границ соседнего участка до вспомогательных строений (бани, гаражи и др.) – 1м;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color w:val="000000"/>
          <w:kern w:val="2"/>
          <w:sz w:val="22"/>
          <w:szCs w:val="22"/>
          <w:lang w:eastAsia="ar-SA"/>
        </w:rPr>
        <w:t xml:space="preserve">8. минимальный отступ от жилого дома до построек для содержания и разведения домашнего скота и птицы – 10м;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SimSun"/>
          <w:kern w:val="2"/>
          <w:sz w:val="22"/>
          <w:szCs w:val="22"/>
          <w:lang w:eastAsia="ar-SA"/>
        </w:rPr>
        <w:t xml:space="preserve">9. требования к ограждению земельных участков: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-высота ограждения земельных участков должна быть не более 2м;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-ограждения между смежными земельными участками должны быть проветриваемыми на высоту не менее 0,3м от уровня земли;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-45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70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 w:val="false"/>
          <w:bCs w:val="false"/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numPr>
          <w:ilvl w:val="0"/>
          <w:numId w:val="2"/>
        </w:numPr>
        <w:suppressAutoHyphens w:val="true"/>
        <w:ind w:firstLine="709"/>
        <w:jc w:val="both"/>
        <w:rPr/>
      </w:pPr>
      <w:r>
        <w:rPr>
          <w:b/>
          <w:sz w:val="22"/>
          <w:szCs w:val="22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1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0" w:name="__DdeLink__53361_26530304802"/>
      <w:r>
        <w:rPr>
          <w:sz w:val="22"/>
          <w:szCs w:val="22"/>
        </w:rPr>
        <w:t xml:space="preserve">   </w:t>
      </w:r>
      <w:bookmarkEnd w:id="0"/>
      <w:r>
        <w:rPr>
          <w:sz w:val="22"/>
          <w:szCs w:val="22"/>
        </w:rPr>
        <w:t xml:space="preserve">3)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</w:t>
      </w: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>2</w:t>
      </w:r>
      <w:r>
        <w:rPr>
          <w:b/>
          <w:color w:val="000000"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1" w:name="__DdeLink__53361_265303048021"/>
      <w:r>
        <w:rPr>
          <w:sz w:val="22"/>
          <w:szCs w:val="22"/>
        </w:rPr>
        <w:t xml:space="preserve">   </w:t>
      </w:r>
      <w:bookmarkEnd w:id="1"/>
      <w:r>
        <w:rPr>
          <w:sz w:val="22"/>
          <w:szCs w:val="22"/>
        </w:rPr>
        <w:t xml:space="preserve">3)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>»- 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700</w:t>
      </w:r>
      <w:r>
        <w:rPr>
          <w:sz w:val="22"/>
          <w:szCs w:val="22"/>
        </w:rPr>
        <w:t xml:space="preserve"> ВЛ-100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6</w:t>
      </w:r>
      <w:r>
        <w:rPr>
          <w:sz w:val="22"/>
          <w:szCs w:val="22"/>
        </w:rPr>
        <w:t xml:space="preserve"> ПС 35кВ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Ивантеевская</w:t>
      </w:r>
      <w:r>
        <w:rPr>
          <w:sz w:val="22"/>
          <w:szCs w:val="22"/>
        </w:rPr>
        <w:t>. Сроки подключения объектов капитального строительства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Россети Волга</w:t>
      </w:r>
      <w:r>
        <w:rPr>
          <w:sz w:val="22"/>
          <w:szCs w:val="22"/>
        </w:rPr>
        <w:t xml:space="preserve">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37/9</w:t>
      </w:r>
      <w:r>
        <w:rPr>
          <w:sz w:val="22"/>
          <w:szCs w:val="22"/>
        </w:rPr>
        <w:t xml:space="preserve"> от 2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9</w:t>
      </w:r>
      <w:r>
        <w:rPr>
          <w:sz w:val="22"/>
          <w:szCs w:val="22"/>
        </w:rPr>
        <w:t xml:space="preserve">.12.2019г.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ab/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color w:val="000000"/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2" w:name="__DdeLink__53361_265303048022"/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   </w:t>
      </w:r>
      <w:bookmarkEnd w:id="2"/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3)  Согласно письма Филиала ГУП СО «Облводоресурс»- «Ивантеевский», возможность подключения к сетям центрального водопровода филиала ГУП СО «Облвлдоресурс»- «Ивантеевский», данный объект не имеет возможности технологического присоединения к центральному водопроводу.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Лот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4</w:t>
      </w:r>
      <w:r>
        <w:rPr>
          <w:b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 xml:space="preserve">Электроснабжение возможно от источника питания ВЛ-0,4кВ от КТП № 812 ВЛ-1005 ПС 110кВ Знаменская.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sz w:val="22"/>
          <w:szCs w:val="22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bookmarkStart w:id="3" w:name="__DdeLink__53361_2653030480"/>
      <w:r>
        <w:rPr>
          <w:sz w:val="22"/>
          <w:szCs w:val="22"/>
        </w:rPr>
        <w:t xml:space="preserve">   </w:t>
      </w:r>
      <w:bookmarkEnd w:id="3"/>
      <w:r>
        <w:rPr>
          <w:sz w:val="22"/>
          <w:szCs w:val="22"/>
        </w:rPr>
        <w:t>3) Согласно письма ГУП «Облводоресурс» - 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09"/>
          <w:tab w:val="left" w:pos="900" w:leader="none"/>
        </w:tabs>
        <w:ind w:left="34" w:firstLine="682"/>
        <w:jc w:val="both"/>
        <w:rPr/>
      </w:pPr>
      <w:r>
        <w:rPr>
          <w:sz w:val="22"/>
          <w:szCs w:val="22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сталь</w:t>
      </w:r>
      <w:r>
        <w:rPr>
          <w:sz w:val="22"/>
          <w:szCs w:val="22"/>
        </w:rPr>
        <w:t xml:space="preserve"> диаметром-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76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 ул. Баулинцев</w:t>
      </w:r>
      <w:r>
        <w:rPr>
          <w:sz w:val="22"/>
          <w:szCs w:val="22"/>
        </w:rPr>
        <w:t>.</w:t>
      </w:r>
    </w:p>
    <w:p>
      <w:pPr>
        <w:pStyle w:val="Normal"/>
        <w:shd w:val="clear" w:color="auto" w:fill="FFFFFF"/>
        <w:tabs>
          <w:tab w:val="clear" w:pos="709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2"/>
          <w:szCs w:val="22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09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2"/>
          <w:szCs w:val="22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2"/>
          <w:szCs w:val="22"/>
        </w:rPr>
        <w:t>Особые условия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i/>
          <w:sz w:val="24"/>
          <w:szCs w:val="24"/>
        </w:rPr>
        <w:tab/>
      </w:r>
      <w:r>
        <w:rPr>
          <w:sz w:val="22"/>
          <w:szCs w:val="22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2. Водопровод проектировать из полиэтиленовых труб по ГОСТ 18599-2001г.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 xml:space="preserve">3. На месте врезки в водопроводную сеть обустроить колодец. 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ab/>
        <w:t xml:space="preserve">4. 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НиП 2.07.01-89г.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ab/>
      </w:r>
      <w:r>
        <w:rPr>
          <w:sz w:val="22"/>
          <w:szCs w:val="22"/>
        </w:rPr>
        <w:t>7. 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ab/>
        <w:t xml:space="preserve">8. 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widowControl/>
        <w:numPr>
          <w:ilvl w:val="0"/>
          <w:numId w:val="3"/>
        </w:numPr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 w:val="false"/>
          <w:bCs w:val="false"/>
          <w:sz w:val="22"/>
          <w:szCs w:val="22"/>
        </w:rPr>
        <w:t xml:space="preserve"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   </w:t>
      </w:r>
      <w:r>
        <w:rPr>
          <w:b/>
          <w:sz w:val="22"/>
          <w:szCs w:val="22"/>
        </w:rPr>
        <w:t xml:space="preserve">         </w:t>
      </w:r>
    </w:p>
    <w:p>
      <w:pPr>
        <w:pStyle w:val="Style23"/>
        <w:widowControl/>
        <w:numPr>
          <w:ilvl w:val="0"/>
          <w:numId w:val="2"/>
        </w:numPr>
        <w:bidi w:val="0"/>
        <w:spacing w:before="0" w:after="0"/>
        <w:ind w:left="0" w:right="0" w:firstLine="567"/>
        <w:jc w:val="both"/>
        <w:rPr/>
      </w:pPr>
      <w:r>
        <w:rPr>
          <w:b/>
          <w:sz w:val="22"/>
          <w:szCs w:val="22"/>
        </w:rPr>
        <w:t>Порядок подачи заявки на участие в аукционе:</w:t>
      </w:r>
      <w:r>
        <w:rPr>
          <w:sz w:val="22"/>
          <w:szCs w:val="22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3">
        <w:r>
          <w:rPr>
            <w:rStyle w:val="Style14"/>
            <w:sz w:val="22"/>
            <w:szCs w:val="22"/>
            <w:lang w:val="en-US"/>
          </w:rPr>
          <w:t>iva</w:t>
        </w:r>
        <w:r>
          <w:rPr>
            <w:rStyle w:val="Style14"/>
            <w:sz w:val="22"/>
            <w:szCs w:val="22"/>
          </w:rPr>
          <w:t>_</w:t>
        </w:r>
        <w:r>
          <w:rPr>
            <w:rStyle w:val="Style14"/>
            <w:sz w:val="22"/>
            <w:szCs w:val="22"/>
            <w:lang w:val="en-US"/>
          </w:rPr>
          <w:t>omo</w:t>
        </w:r>
        <w:r>
          <w:rPr>
            <w:rStyle w:val="Style14"/>
            <w:sz w:val="22"/>
            <w:szCs w:val="22"/>
          </w:rPr>
          <w:t>@</w:t>
        </w:r>
        <w:r>
          <w:rPr>
            <w:rStyle w:val="Style14"/>
            <w:sz w:val="22"/>
            <w:szCs w:val="22"/>
            <w:lang w:val="en-US"/>
          </w:rPr>
          <w:t>rambler</w:t>
        </w:r>
        <w:r>
          <w:rPr>
            <w:rStyle w:val="Style14"/>
            <w:sz w:val="22"/>
            <w:szCs w:val="22"/>
          </w:rPr>
          <w:t>.</w:t>
        </w:r>
        <w:r>
          <w:rPr>
            <w:rStyle w:val="Style1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3"/>
        <w:ind w:firstLine="567"/>
        <w:rPr/>
      </w:pPr>
      <w:r>
        <w:rPr>
          <w:sz w:val="22"/>
          <w:szCs w:val="22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firstLine="567"/>
        <w:rPr/>
      </w:pPr>
      <w:r>
        <w:rPr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firstLine="567"/>
        <w:rPr/>
      </w:pPr>
      <w:r>
        <w:rPr>
          <w:b/>
          <w:bCs/>
          <w:color w:val="111111"/>
          <w:sz w:val="22"/>
          <w:szCs w:val="22"/>
        </w:rPr>
        <w:t>Срок и порядок внесения задатка:</w:t>
      </w:r>
      <w:r>
        <w:rPr>
          <w:b w:val="false"/>
          <w:bCs w:val="false"/>
          <w:color w:val="111111"/>
          <w:sz w:val="22"/>
          <w:szCs w:val="22"/>
        </w:rPr>
        <w:t xml:space="preserve"> задаток вносится единым платежом по следующим реквизитам: Казначейский счет: 03232643636190006000, Единый казначейский счет: 40102810845370000052, Банк  получателя: Отделение Саратов Банка России//УФК по Саратовской области г.Саратов, Получатель: УФК по Саратовской области (Администрация Ивантеевского муниципального района Саратовской области), ИНН 6414001592, КПП 641401001, БИК 016311121, назначение платежа  «Средства, поступающие во временное распоряжение».</w:t>
      </w:r>
    </w:p>
    <w:p>
      <w:pPr>
        <w:pStyle w:val="Style23"/>
        <w:ind w:firstLine="567"/>
        <w:rPr/>
      </w:pPr>
      <w:r>
        <w:rPr>
          <w:sz w:val="22"/>
          <w:szCs w:val="22"/>
        </w:rPr>
        <w:t>Задаток должен поступить на счет Продавца не позднее  даты окончания приема заявок.</w:t>
      </w:r>
    </w:p>
    <w:p>
      <w:pPr>
        <w:pStyle w:val="Style23"/>
        <w:ind w:firstLine="567"/>
        <w:rPr/>
      </w:pPr>
      <w:r>
        <w:rPr>
          <w:sz w:val="22"/>
          <w:szCs w:val="22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>
          <w:sz w:val="22"/>
          <w:szCs w:val="22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4">
        <w:r>
          <w:rPr>
            <w:rStyle w:val="Style"/>
            <w:rFonts w:cs="Times New Roman" w:ascii="Times New Roman" w:hAnsi="Times New Roman"/>
            <w:sz w:val="22"/>
            <w:szCs w:val="22"/>
          </w:rPr>
          <w:t>пунктом 13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</w:t>
      </w:r>
      <w:hyperlink r:id="rId5">
        <w:r>
          <w:rPr>
            <w:rStyle w:val="Style"/>
            <w:rFonts w:cs="Times New Roman" w:ascii="Times New Roman" w:hAnsi="Times New Roman"/>
            <w:sz w:val="22"/>
            <w:szCs w:val="22"/>
          </w:rPr>
          <w:t>14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или </w:t>
      </w:r>
      <w:hyperlink r:id="rId6">
        <w:r>
          <w:rPr>
            <w:rStyle w:val="Style"/>
            <w:rFonts w:cs="Times New Roman" w:ascii="Times New Roman" w:hAnsi="Times New Roman"/>
            <w:sz w:val="22"/>
            <w:szCs w:val="22"/>
          </w:rPr>
          <w:t>20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firstLine="567"/>
        <w:rPr/>
      </w:pPr>
      <w:r>
        <w:rPr>
          <w:sz w:val="22"/>
          <w:szCs w:val="22"/>
        </w:rPr>
        <w:t>Требования к оформлению представляемых документов:</w:t>
      </w:r>
    </w:p>
    <w:p>
      <w:pPr>
        <w:pStyle w:val="Style23"/>
        <w:ind w:firstLine="567"/>
        <w:rPr/>
      </w:pPr>
      <w:r>
        <w:rPr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>
          <w:sz w:val="22"/>
          <w:szCs w:val="22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firstLine="567"/>
        <w:jc w:val="both"/>
        <w:rPr/>
      </w:pPr>
      <w:r>
        <w:rPr>
          <w:sz w:val="22"/>
          <w:szCs w:val="22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2"/>
          <w:szCs w:val="22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2"/>
          <w:szCs w:val="22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сайте продавца</w:t>
      </w:r>
      <w:r>
        <w:rPr>
          <w:bCs/>
          <w:sz w:val="22"/>
          <w:szCs w:val="22"/>
          <w:lang w:eastAsia="ar-SA"/>
        </w:rPr>
        <w:t xml:space="preserve"> в информационно-коммуникационной сети «Интернет», </w:t>
      </w:r>
      <w:r>
        <w:rPr>
          <w:sz w:val="22"/>
          <w:szCs w:val="22"/>
        </w:rPr>
        <w:t xml:space="preserve">на официальном сайте Ивантеевского муниципального района Саратовской области по адресу: </w:t>
      </w:r>
      <w:hyperlink r:id="rId7">
        <w:r>
          <w:rPr>
            <w:rStyle w:val="Style14"/>
            <w:sz w:val="22"/>
            <w:szCs w:val="22"/>
          </w:rPr>
          <w:t>http://ivanteevka.sarmo.ru/</w:t>
        </w:r>
      </w:hyperlink>
      <w:r>
        <w:rPr>
          <w:sz w:val="22"/>
          <w:szCs w:val="22"/>
        </w:rPr>
        <w:t xml:space="preserve">, </w:t>
      </w:r>
      <w:r>
        <w:rPr>
          <w:sz w:val="24"/>
          <w:szCs w:val="24"/>
        </w:rPr>
        <w:t>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ru-RU" w:bidi="ar-SA"/>
        </w:rPr>
        <w:t>п</w:t>
      </w:r>
      <w:r>
        <w:rPr>
          <w:b/>
          <w:sz w:val="22"/>
          <w:szCs w:val="22"/>
        </w:rPr>
        <w:t xml:space="preserve">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/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4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4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4"/>
        </w:numPr>
        <w:suppressAutoHyphens w:val="true"/>
        <w:ind w:left="357" w:hanging="36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689"/>
        <w:gridCol w:w="685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199"/>
        <w:gridCol w:w="223"/>
        <w:gridCol w:w="206"/>
        <w:gridCol w:w="223"/>
        <w:gridCol w:w="208"/>
        <w:gridCol w:w="209"/>
        <w:gridCol w:w="219"/>
        <w:gridCol w:w="205"/>
        <w:gridCol w:w="227"/>
        <w:gridCol w:w="201"/>
        <w:gridCol w:w="227"/>
        <w:gridCol w:w="197"/>
        <w:gridCol w:w="231"/>
        <w:gridCol w:w="196"/>
        <w:gridCol w:w="236"/>
        <w:gridCol w:w="191"/>
        <w:gridCol w:w="159"/>
        <w:gridCol w:w="79"/>
        <w:gridCol w:w="224"/>
        <w:gridCol w:w="205"/>
        <w:gridCol w:w="75"/>
        <w:gridCol w:w="353"/>
        <w:gridCol w:w="229"/>
        <w:gridCol w:w="202"/>
        <w:gridCol w:w="382"/>
        <w:gridCol w:w="48"/>
        <w:gridCol w:w="428"/>
        <w:gridCol w:w="104"/>
        <w:gridCol w:w="328"/>
        <w:gridCol w:w="257"/>
        <w:gridCol w:w="175"/>
        <w:gridCol w:w="403"/>
        <w:gridCol w:w="70"/>
        <w:gridCol w:w="428"/>
        <w:gridCol w:w="125"/>
        <w:gridCol w:w="307"/>
        <w:gridCol w:w="278"/>
        <w:gridCol w:w="150"/>
        <w:gridCol w:w="474"/>
        <w:gridCol w:w="192"/>
      </w:tblGrid>
      <w:tr>
        <w:trPr>
          <w:trHeight w:val="241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00" w:leader="none"/>
              </w:tabs>
              <w:jc w:val="both"/>
              <w:rPr/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00" w:leader="none"/>
              </w:tabs>
              <w:jc w:val="both"/>
              <w:rPr/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21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4158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/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jc w:val="center"/>
        <w:rPr/>
      </w:pPr>
      <w:r>
        <w:rPr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3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/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9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3.1. Покупатель обязан: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3.1.1. Осуществить расчеты по договору в соответствии с разделом 2 настоящего договора.</w:t>
      </w:r>
    </w:p>
    <w:p>
      <w:pPr>
        <w:pStyle w:val="Style19"/>
        <w:rPr/>
      </w:pPr>
      <w:r>
        <w:rPr/>
        <w:t xml:space="preserve">       </w:t>
      </w:r>
      <w:r>
        <w:rPr/>
        <w:tab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3.1.4.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3.1.5.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3"/>
        <w:numPr>
          <w:ilvl w:val="0"/>
          <w:numId w:val="3"/>
        </w:numPr>
        <w:spacing w:lineRule="auto" w:line="240" w:before="0" w:after="0"/>
        <w:contextualSpacing/>
        <w:jc w:val="center"/>
        <w:rPr/>
      </w:pPr>
      <w:r>
        <w:rPr>
          <w:b/>
        </w:rPr>
        <w:t>Рассмотрение споров и ответственность сторон</w:t>
      </w:r>
    </w:p>
    <w:p>
      <w:pPr>
        <w:pStyle w:val="13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BodyText3"/>
        <w:spacing w:lineRule="auto" w:line="240" w:before="0" w:after="0"/>
        <w:ind w:firstLine="708"/>
        <w:jc w:val="both"/>
        <w:rPr/>
      </w:pPr>
      <w:r>
        <w:rPr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jc w:val="both"/>
        <w:rPr/>
      </w:pPr>
      <w:r>
        <w:rPr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9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/>
      </w:pPr>
      <w:r>
        <w:rPr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3"/>
        <w:rPr>
          <w:b/>
          <w:b/>
        </w:rPr>
      </w:pPr>
      <w:r>
        <w:rPr>
          <w:b/>
        </w:rPr>
      </w:r>
    </w:p>
    <w:p>
      <w:pPr>
        <w:pStyle w:val="Style23"/>
        <w:jc w:val="center"/>
        <w:rPr/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/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va_omo@rambler.ru" TargetMode="External"/><Relationship Id="rId4" Type="http://schemas.openxmlformats.org/officeDocument/2006/relationships/hyperlink" Target="consultantplus://offline/ref=B7F625AD85D2B345EC666D9FC4CF5D3AAEE994FB927D112B3F4619F8B85FFA58CBB4AD7246sCCFO" TargetMode="External"/><Relationship Id="rId5" Type="http://schemas.openxmlformats.org/officeDocument/2006/relationships/hyperlink" Target="consultantplus://offline/ref=B7F625AD85D2B345EC666D9FC4CF5D3AAEE994FB927D112B3F4619F8B85FFA58CBB4AD7247sCC6O" TargetMode="External"/><Relationship Id="rId6" Type="http://schemas.openxmlformats.org/officeDocument/2006/relationships/hyperlink" Target="consultantplus://offline/ref=B7F625AD85D2B345EC666D9FC4CF5D3AAEE994FB927D112B3F4619F8B85FFA58CBB4AD734EsCC4O" TargetMode="External"/><Relationship Id="rId7" Type="http://schemas.openxmlformats.org/officeDocument/2006/relationships/hyperlink" Target="http://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LibreOffice/6.3.4.2$Windows_x86 LibreOffice_project/60da17e045e08f1793c57c00ba83cdfce946d0aa</Application>
  <Pages>11</Pages>
  <Words>4466</Words>
  <Characters>34524</Characters>
  <CharactersWithSpaces>39441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2021-03-18T09:11:17Z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