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media/image10.emf" ContentType="image/x-emf"/>
  <Override PartName="/word/media/image11.emf" ContentType="image/x-emf"/>
  <Override PartName="/word/media/image12.emf" ContentType="image/x-emf"/>
  <Override PartName="/word/media/image13.emf" ContentType="image/x-emf"/>
  <Override PartName="/word/media/image14.emf" ContentType="image/x-emf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_____Microsoft_Office_Excel4.xlsx" ContentType="application/vnd.openxmlformats-officedocument.spreadsheetml.sheet"/>
  <Override PartName="/word/embeddings/_____Microsoft_Office_Excel1.xlsx" ContentType="application/vnd.openxmlformats-officedocument.spreadsheetml.shee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_____Microsoft_Office_Excel3.xlsx" ContentType="application/vnd.openxmlformats-officedocument.spreadsheetml.sheet"/>
  <Override PartName="/word/embeddings/oleObject5.bin" ContentType="application/vnd.openxmlformats-officedocument.oleObject"/>
  <Override PartName="/word/embeddings/_____Microsoft_Office_Excel2.xlsx" ContentType="application/vnd.openxmlformats-officedocument.spreadsheetml.sheet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EAF1DD"/>
  <w:body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Calibri"/>
          <w:b/>
          <w:b/>
          <w:sz w:val="28"/>
          <w:szCs w:val="28"/>
        </w:rPr>
      </w:pPr>
      <w:r>
        <w:rPr>
          <w:rFonts w:cs="Calibri" w:ascii="Times New Roman" w:hAnsi="Times New Roman"/>
          <w:b/>
          <w:sz w:val="28"/>
          <w:szCs w:val="28"/>
        </w:rPr>
      </w:r>
      <w:r>
        <mc:AlternateContent>
          <mc:Choice Requires="wps">
            <w:drawing>
              <wp:anchor behindDoc="0" distT="0" distB="0" distL="114300" distR="0" simplePos="0" locked="0" layoutInCell="1" allowOverlap="1" relativeHeight="7">
                <wp:simplePos x="0" y="0"/>
                <wp:positionH relativeFrom="column">
                  <wp:posOffset>-652780</wp:posOffset>
                </wp:positionH>
                <wp:positionV relativeFrom="paragraph">
                  <wp:posOffset>67945</wp:posOffset>
                </wp:positionV>
                <wp:extent cx="7075170" cy="1882140"/>
                <wp:effectExtent l="0" t="0" r="41577260" b="4157726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170" cy="1882140"/>
                        </a:xfrm>
                        <a:prstGeom prst="rect"/>
                        <a:gradFill>
                          <a:gsLst>
                            <a:gs pos="0">
                              <a:srgbClr val="95b3d7"/>
                            </a:gs>
                            <a:gs pos="100000">
                              <a:srgbClr val="dce6f2"/>
                            </a:gs>
                          </a:gsLst>
                          <a:lin ang="5400000"/>
                        </a:gradFill>
                        <a:ln w="635">
                          <a:solidFill>
                            <a:srgbClr val="376092"/>
                          </a:solidFill>
                        </a:ln>
                        <a:effectLst>
                          <a:outerShdw dist="58799095" dir="27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96"/>
                                <w:szCs w:val="56"/>
                              </w:rPr>
                              <w:t>Бюджет для граждан</w:t>
                            </w:r>
                          </w:p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376092" strokeweight="0pt" fillcolor="#95B3D7" style="position:absolute;rotation:0;width:557.1pt;height:148.2pt;mso-wrap-distance-left:9pt;mso-wrap-distance-right:9pt;mso-wrap-distance-top:0pt;mso-wrap-distance-bottom:0pt;margin-top:5.35pt;mso-position-vertical-relative:text;margin-left:-51.4pt;mso-position-horizontal-relative:text">
                <v:shadow on="t" color="#000000" offset="3273.8pt,3273.8pt"/>
                <v:fill type="gradient" angle="-180" color2="#DCE6F2"/>
                <v:textbox>
                  <w:txbxContent>
                    <w:p>
                      <w:pPr>
                        <w:pStyle w:val="Style20"/>
                        <w:spacing w:lineRule="auto" w:line="240"/>
                        <w:jc w:val="center"/>
                        <w:rPr>
                          <w:rFonts w:ascii="Times New Roman" w:hAnsi="Times New Roman"/>
                          <w:b/>
                          <w:b/>
                          <w:color w:val="17365D" w:themeColor="text2" w:themeShade="bf"/>
                          <w:sz w:val="9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96"/>
                          <w:szCs w:val="56"/>
                        </w:rPr>
                        <w:t>Бюджет для граждан</w:t>
                      </w:r>
                    </w:p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</w:r>
      <w:r>
        <mc:AlternateContent>
          <mc:Choice Requires="wps">
            <w:drawing>
              <wp:inline distT="0" distB="0" distL="114300" distR="114300">
                <wp:extent cx="9035415" cy="27241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5415" cy="27241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stroked="f" strokeweight="0pt" style="position:absolute;rotation:0;width:711.45pt;height:21.45pt;mso-wrap-distance-left:9pt;mso-wrap-distance-right:9pt;mso-wrap-distance-top:0pt;mso-wrap-distance-bottom:0pt;margin-top:0pt;mso-position-vertical-relative:text;margin-left:0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>
        <mc:AlternateContent>
          <mc:Choice Requires="wps">
            <w:drawing>
              <wp:anchor behindDoc="0" distT="0" distB="0" distL="114300" distR="0" simplePos="0" locked="0" layoutInCell="1" allowOverlap="1" relativeHeight="6">
                <wp:simplePos x="0" y="0"/>
                <wp:positionH relativeFrom="column">
                  <wp:posOffset>-176530</wp:posOffset>
                </wp:positionH>
                <wp:positionV relativeFrom="paragraph">
                  <wp:posOffset>236855</wp:posOffset>
                </wp:positionV>
                <wp:extent cx="6381750" cy="1543050"/>
                <wp:effectExtent l="0" t="0" r="41577260" b="4157726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1543050"/>
                        </a:xfrm>
                        <a:prstGeom prst="rect"/>
                        <a:solidFill>
                          <a:srgbClr val="F2DBDB"/>
                        </a:solidFill>
                        <a:ln w="635">
                          <a:solidFill>
                            <a:srgbClr val="365F91"/>
                          </a:solidFill>
                        </a:ln>
                        <a:effectLst>
                          <a:outerShdw dist="58799095" dir="27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20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к решению </w:t>
                            </w:r>
                            <w:bookmarkStart w:id="0" w:name="_GoBack"/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№ 16 от 30.05.2019г.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 xml:space="preserve">  </w:t>
                            </w:r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«Об утверждении отчета об исполнении бюджета Николаевского муниципального образования за 2018 год»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2DBDB" strokecolor="#365F91" strokeweight="0pt" style="position:absolute;rotation:0;width:502.5pt;height:121.5pt;mso-wrap-distance-left:9pt;mso-wrap-distance-right:9pt;mso-wrap-distance-top:0pt;mso-wrap-distance-bottom:0pt;margin-top:18.65pt;mso-position-vertical-relative:text;margin-left:-13.9pt;mso-position-horizontal-relative:text">
                <v:shadow on="t" color="#000000" offset="3273.8pt,3273.8pt"/>
                <v:textbox>
                  <w:txbxContent>
                    <w:p>
                      <w:pPr>
                        <w:pStyle w:val="Style20"/>
                        <w:spacing w:lineRule="auto" w:line="240" w:before="0" w:after="20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к решению </w:t>
                      </w:r>
                      <w:bookmarkStart w:id="1" w:name="_GoBack"/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№ 16 от 30.05.2019г.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 xml:space="preserve">  </w:t>
                      </w:r>
                      <w:bookmarkEnd w:id="1"/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«Об утверждении отчета об исполнении бюджета Николаевского муниципального образования за 2018 год»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ListParagraph"/>
        <w:spacing w:lineRule="auto" w:line="240" w:before="0" w:after="0"/>
        <w:ind w:left="0" w:firstLine="36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ListParagraph"/>
        <w:spacing w:lineRule="auto" w:line="240" w:before="0" w:after="0"/>
        <w:ind w:left="0" w:firstLine="36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ListParagraph"/>
        <w:spacing w:lineRule="auto" w:line="240" w:before="0" w:after="0"/>
        <w:ind w:left="0" w:firstLine="36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ListParagraph"/>
        <w:spacing w:lineRule="auto" w:line="240" w:before="0" w:after="0"/>
        <w:ind w:left="0" w:firstLine="36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ListParagraph"/>
        <w:spacing w:lineRule="auto" w:line="240" w:before="0" w:after="0"/>
        <w:ind w:left="0" w:firstLine="36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  <w:r>
        <mc:AlternateContent>
          <mc:Choice Requires="wps">
            <w:drawing>
              <wp:anchor behindDoc="0" distT="0" distB="0" distL="114300" distR="0" simplePos="0" locked="0" layoutInCell="1" allowOverlap="1" relativeHeight="8">
                <wp:simplePos x="0" y="0"/>
                <wp:positionH relativeFrom="column">
                  <wp:posOffset>985520</wp:posOffset>
                </wp:positionH>
                <wp:positionV relativeFrom="paragraph">
                  <wp:posOffset>323850</wp:posOffset>
                </wp:positionV>
                <wp:extent cx="4124325" cy="3362325"/>
                <wp:effectExtent l="0" t="0" r="41577260" b="4157726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3362325"/>
                        </a:xfrm>
                        <a:prstGeom prst="rect"/>
                        <a:solidFill>
                          <a:srgbClr val="F2DBDB"/>
                        </a:solidFill>
                        <a:ln w="635">
                          <a:solidFill>
                            <a:srgbClr val="365F91"/>
                          </a:solidFill>
                        </a:ln>
                        <a:effectLst>
                          <a:outerShdw dist="58799095" dir="27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200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z w:val="56"/>
                                <w:szCs w:val="56"/>
                              </w:rPr>
                              <w:drawing>
                                <wp:inline distT="0" distB="0" distL="19050" distR="9525">
                                  <wp:extent cx="3533775" cy="3105150"/>
                                  <wp:effectExtent l="0" t="0" r="0" b="0"/>
                                  <wp:docPr id="5" name="Рисунок 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33775" cy="3105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2DBDB" strokecolor="#365F91" strokeweight="0pt" style="position:absolute;rotation:0;width:324.75pt;height:264.75pt;mso-wrap-distance-left:9pt;mso-wrap-distance-right:9pt;mso-wrap-distance-top:0pt;mso-wrap-distance-bottom:0pt;margin-top:25.5pt;mso-position-vertical-relative:text;margin-left:77.6pt;mso-position-horizontal-relative:text">
                <v:shadow on="t" color="#000000" offset="3273.8pt,3273.8pt"/>
                <v:textbox>
                  <w:txbxContent>
                    <w:p>
                      <w:pPr>
                        <w:pStyle w:val="Style20"/>
                        <w:spacing w:lineRule="auto" w:line="240" w:before="0" w:after="200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17365D" w:themeColor="text2" w:themeShade="bf"/>
                          <w:sz w:val="56"/>
                          <w:szCs w:val="56"/>
                        </w:rPr>
                        <w:drawing>
                          <wp:inline distT="0" distB="0" distL="19050" distR="9525">
                            <wp:extent cx="3533775" cy="3105150"/>
                            <wp:effectExtent l="0" t="0" r="0" b="0"/>
                            <wp:docPr id="6" name="Рисунок 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Рисунок 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33775" cy="3105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ListParagraph"/>
        <w:spacing w:lineRule="auto" w:line="240" w:before="0" w:after="0"/>
        <w:ind w:left="0" w:firstLine="36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ListParagraph"/>
        <w:spacing w:lineRule="auto" w:line="240" w:before="0" w:after="0"/>
        <w:ind w:left="0" w:firstLine="36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ListParagraph"/>
        <w:spacing w:lineRule="auto" w:line="240" w:before="0" w:after="0"/>
        <w:ind w:left="0" w:firstLine="36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ListParagraph"/>
        <w:spacing w:lineRule="auto" w:line="240" w:before="0" w:after="0"/>
        <w:ind w:left="0" w:firstLine="36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b/>
          <w:b/>
          <w:color w:val="E36C0A" w:themeColor="accent6" w:themeShade="bf"/>
          <w:sz w:val="72"/>
          <w:szCs w:val="72"/>
        </w:rPr>
      </w:pPr>
      <w:r>
        <w:rPr>
          <w:rFonts w:ascii="Times New Roman" w:hAnsi="Times New Roman"/>
          <w:b/>
          <w:color w:val="E36C0A" w:themeColor="accent6" w:themeShade="bf"/>
          <w:sz w:val="72"/>
          <w:szCs w:val="72"/>
        </w:rPr>
      </w:r>
    </w:p>
    <w:p>
      <w:pPr>
        <w:pStyle w:val="Normal"/>
        <w:tabs>
          <w:tab w:val="left" w:pos="3210" w:leader="none"/>
        </w:tabs>
        <w:spacing w:lineRule="auto" w:line="240" w:before="0" w:after="0"/>
        <w:rPr>
          <w:rFonts w:ascii="Times New Roman" w:hAnsi="Times New Roman"/>
          <w:b/>
          <w:b/>
          <w:color w:val="E36C0A" w:themeColor="accent6" w:themeShade="bf"/>
          <w:sz w:val="50"/>
          <w:szCs w:val="50"/>
        </w:rPr>
      </w:pPr>
      <w:r>
        <w:rPr>
          <w:rFonts w:ascii="Times New Roman" w:hAnsi="Times New Roman"/>
          <w:b/>
          <w:color w:val="E36C0A" w:themeColor="accent6" w:themeShade="bf"/>
          <w:sz w:val="50"/>
          <w:szCs w:val="50"/>
        </w:rPr>
      </w:r>
    </w:p>
    <w:p>
      <w:pPr>
        <w:pStyle w:val="Normal"/>
        <w:shd w:val="clear" w:color="auto" w:fill="EAF1DD" w:themeFill="accent3" w:themeFillTint="33"/>
        <w:spacing w:lineRule="auto" w:line="240"/>
        <w:ind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жители Николаевского муниципального образования.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главных задач бюджетной политики является обеспечение прозрачности и открытости бюджетного процесса. Для привлечения большого количества граждан к участию в обсуждении вопросов формирования бюджета района и его исполнения разработан «Бюджет для граждан». «Бюджет для граждан» предназначен прежде всего для жителей, не обладающих специальными знаниями в сфере бюджетного законодательства. Информация «Бюджет для граждан» в доступной форме знакомит граждан с основными характеристиками бюджета Николаевского муниципального образования.</w:t>
      </w:r>
    </w:p>
    <w:p>
      <w:pPr>
        <w:pStyle w:val="Normal"/>
        <w:spacing w:lineRule="auto" w:line="240"/>
        <w:ind w:firstLine="708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Б</w:t>
      </w:r>
      <w:r>
        <w:rPr>
          <w:rFonts w:ascii="Times New Roman" w:hAnsi="Times New Roman"/>
          <w:b/>
          <w:sz w:val="30"/>
          <w:szCs w:val="30"/>
        </w:rPr>
        <w:t>юджетный процесс - ежегодное формирование и исполнение бюджета</w:t>
      </w:r>
      <w:r>
        <mc:AlternateContent>
          <mc:Choice Requires="wps">
            <w:drawing>
              <wp:anchor behindDoc="0" distT="0" distB="0" distL="114300" distR="0" simplePos="0" locked="0" layoutInCell="1" allowOverlap="1" relativeHeight="9">
                <wp:simplePos x="0" y="0"/>
                <wp:positionH relativeFrom="column">
                  <wp:posOffset>-176530</wp:posOffset>
                </wp:positionH>
                <wp:positionV relativeFrom="paragraph">
                  <wp:posOffset>514350</wp:posOffset>
                </wp:positionV>
                <wp:extent cx="6381750" cy="2924175"/>
                <wp:effectExtent l="0" t="0" r="41577260" b="4157726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924175"/>
                        </a:xfrm>
                        <a:prstGeom prst="rect"/>
                        <a:solidFill>
                          <a:srgbClr val="F2DBDB"/>
                        </a:solidFill>
                        <a:ln w="635">
                          <a:solidFill>
                            <a:srgbClr val="365F91"/>
                          </a:solidFill>
                        </a:ln>
                        <a:effectLst>
                          <a:outerShdw dist="58799095" dir="2700000">
                            <a:srgbClr val="00000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19050" distR="9525">
                                  <wp:extent cx="5724525" cy="2438400"/>
                                  <wp:effectExtent l="0" t="0" r="0" b="0"/>
                                  <wp:docPr id="8" name="Рисунок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4525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2DBDB" strokecolor="#365F91" strokeweight="0pt" style="position:absolute;rotation:0;width:502.5pt;height:230.25pt;mso-wrap-distance-left:9pt;mso-wrap-distance-right:9pt;mso-wrap-distance-top:0pt;mso-wrap-distance-bottom:0pt;margin-top:40.5pt;mso-position-vertical-relative:text;margin-left:-13.9pt;mso-position-horizontal-relative:text">
                <v:shadow on="t" color="#000000" offset="3273.8pt,3273.8pt"/>
                <v:textbox>
                  <w:txbxContent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19050" distR="9525">
                            <wp:extent cx="5724525" cy="2438400"/>
                            <wp:effectExtent l="0" t="0" r="0" b="0"/>
                            <wp:docPr id="9" name="Рисунок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Рисунок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4525" cy="243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/>
        <w:rPr>
          <w:rFonts w:ascii="Times New Roman" w:hAnsi="Times New Roman" w:cs="Calibri"/>
          <w:sz w:val="36"/>
          <w:szCs w:val="36"/>
        </w:rPr>
      </w:pPr>
      <w:r>
        <w:rPr>
          <w:rFonts w:cs="Calibri" w:ascii="Times New Roman" w:hAnsi="Times New Roman"/>
          <w:sz w:val="36"/>
          <w:szCs w:val="36"/>
        </w:rPr>
      </w:r>
    </w:p>
    <w:p>
      <w:pPr>
        <w:pStyle w:val="ListParagraph"/>
        <w:spacing w:lineRule="auto" w:line="240" w:before="0" w:after="0"/>
        <w:ind w:left="0" w:firstLine="36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ListParagraph"/>
        <w:spacing w:lineRule="auto" w:line="240" w:before="0" w:after="0"/>
        <w:ind w:left="0" w:firstLine="36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ListParagraph"/>
        <w:spacing w:lineRule="auto" w:line="240" w:before="0" w:after="0"/>
        <w:ind w:left="0" w:firstLine="36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ListParagraph"/>
        <w:spacing w:lineRule="auto" w:line="240" w:before="0" w:after="0"/>
        <w:ind w:left="0" w:firstLine="360"/>
        <w:jc w:val="right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бюджет?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Бюджет – это план доходов и расходов на определенный период.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Исполнение бюджета Николаевского муниципального образования за 2018 год </w:t>
      </w:r>
    </w:p>
    <w:p>
      <w:pPr>
        <w:pStyle w:val="Normal"/>
        <w:spacing w:lineRule="auto" w:line="240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53"/>
        <w:gridCol w:w="2268"/>
        <w:gridCol w:w="2552"/>
      </w:tblGrid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2018 года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Факт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года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Доходы, в том числе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1489,6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1571,1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Налоговые, неналоговые доходы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1330,1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1411,6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159,5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Расходы, в том числе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1589,0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1551,5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1355,9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1341,6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92,4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расходы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Баланс (доходы-расходы)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(-)Дефицит или профицит(+)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-99,4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19,6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32"/>
          <w:szCs w:val="32"/>
        </w:rPr>
        <w:t>Зачем нужны бюджеты?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своих задач муниципальному образованию необходим бюджет, который формируется за счет сбора налогов и безвозмездных поступлений направляемых на финансирование бюджетных расходов.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  <w:b/>
          <w:b/>
          <w:bCs/>
          <w:color w:val="404040"/>
          <w:sz w:val="32"/>
          <w:szCs w:val="32"/>
        </w:rPr>
      </w:pPr>
      <w:r>
        <w:rPr>
          <w:rFonts w:ascii="Times New Roman" w:hAnsi="Times New Roman"/>
          <w:b/>
          <w:bCs/>
          <w:color w:val="404040"/>
          <w:position w:val="0"/>
          <w:sz w:val="32"/>
          <w:szCs w:val="32"/>
        </w:rPr>
        <w:t>Ос</w:t>
      </w:r>
      <w:r>
        <w:rPr>
          <w:rFonts w:ascii="Times New Roman" w:hAnsi="Times New Roman"/>
          <w:b/>
          <w:bCs/>
          <w:color w:val="404040"/>
          <w:spacing w:val="-2"/>
          <w:position w:val="0"/>
          <w:sz w:val="32"/>
          <w:szCs w:val="32"/>
        </w:rPr>
        <w:t>н</w:t>
      </w:r>
      <w:r>
        <w:rPr>
          <w:rFonts w:ascii="Times New Roman" w:hAnsi="Times New Roman"/>
          <w:b/>
          <w:bCs/>
          <w:color w:val="404040"/>
          <w:spacing w:val="-9"/>
          <w:position w:val="0"/>
          <w:sz w:val="32"/>
          <w:szCs w:val="32"/>
        </w:rPr>
        <w:t>о</w:t>
      </w:r>
      <w:r>
        <w:rPr>
          <w:rFonts w:ascii="Times New Roman" w:hAnsi="Times New Roman"/>
          <w:b/>
          <w:bCs/>
          <w:color w:val="404040"/>
          <w:position w:val="0"/>
          <w:sz w:val="32"/>
          <w:szCs w:val="32"/>
        </w:rPr>
        <w:t>в</w:t>
      </w:r>
      <w:r>
        <w:rPr>
          <w:rFonts w:ascii="Times New Roman" w:hAnsi="Times New Roman"/>
          <w:b/>
          <w:bCs/>
          <w:color w:val="404040"/>
          <w:spacing w:val="-2"/>
          <w:position w:val="0"/>
          <w:sz w:val="32"/>
          <w:szCs w:val="32"/>
        </w:rPr>
        <w:t>н</w:t>
      </w:r>
      <w:r>
        <w:rPr>
          <w:rFonts w:ascii="Times New Roman" w:hAnsi="Times New Roman"/>
          <w:b/>
          <w:bCs/>
          <w:color w:val="404040"/>
          <w:spacing w:val="-1"/>
          <w:position w:val="0"/>
          <w:sz w:val="32"/>
          <w:szCs w:val="32"/>
        </w:rPr>
        <w:t>ы</w:t>
      </w:r>
      <w:r>
        <w:rPr>
          <w:rFonts w:ascii="Times New Roman" w:hAnsi="Times New Roman"/>
          <w:b/>
          <w:bCs/>
          <w:color w:val="404040"/>
          <w:position w:val="0"/>
          <w:sz w:val="32"/>
          <w:szCs w:val="32"/>
        </w:rPr>
        <w:t>е</w:t>
      </w:r>
      <w:r>
        <w:rPr>
          <w:rFonts w:ascii="Times New Roman" w:hAnsi="Times New Roman"/>
          <w:b/>
          <w:bCs/>
          <w:color w:val="404040"/>
          <w:spacing w:val="-7"/>
          <w:position w:val="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404040"/>
          <w:spacing w:val="-4"/>
          <w:position w:val="0"/>
          <w:sz w:val="32"/>
          <w:szCs w:val="32"/>
        </w:rPr>
        <w:t>х</w:t>
      </w:r>
      <w:r>
        <w:rPr>
          <w:rFonts w:ascii="Times New Roman" w:hAnsi="Times New Roman"/>
          <w:b/>
          <w:bCs/>
          <w:color w:val="404040"/>
          <w:position w:val="0"/>
          <w:sz w:val="32"/>
          <w:szCs w:val="32"/>
        </w:rPr>
        <w:t>ар</w:t>
      </w:r>
      <w:r>
        <w:rPr>
          <w:rFonts w:ascii="Times New Roman" w:hAnsi="Times New Roman"/>
          <w:b/>
          <w:bCs/>
          <w:color w:val="404040"/>
          <w:spacing w:val="2"/>
          <w:position w:val="0"/>
          <w:sz w:val="32"/>
          <w:szCs w:val="32"/>
        </w:rPr>
        <w:t>а</w:t>
      </w:r>
      <w:r>
        <w:rPr>
          <w:rFonts w:ascii="Times New Roman" w:hAnsi="Times New Roman"/>
          <w:b/>
          <w:bCs/>
          <w:color w:val="404040"/>
          <w:position w:val="0"/>
          <w:sz w:val="32"/>
          <w:szCs w:val="32"/>
        </w:rPr>
        <w:t>к</w:t>
      </w:r>
      <w:r>
        <w:rPr>
          <w:rFonts w:ascii="Times New Roman" w:hAnsi="Times New Roman"/>
          <w:b/>
          <w:bCs/>
          <w:color w:val="404040"/>
          <w:spacing w:val="-3"/>
          <w:position w:val="0"/>
          <w:sz w:val="32"/>
          <w:szCs w:val="32"/>
        </w:rPr>
        <w:t>т</w:t>
      </w:r>
      <w:r>
        <w:rPr>
          <w:rFonts w:ascii="Times New Roman" w:hAnsi="Times New Roman"/>
          <w:b/>
          <w:bCs/>
          <w:color w:val="404040"/>
          <w:position w:val="0"/>
          <w:sz w:val="32"/>
          <w:szCs w:val="32"/>
        </w:rPr>
        <w:t>ер</w:t>
      </w:r>
      <w:r>
        <w:rPr>
          <w:rFonts w:ascii="Times New Roman" w:hAnsi="Times New Roman"/>
          <w:b/>
          <w:bCs/>
          <w:color w:val="404040"/>
          <w:spacing w:val="-1"/>
          <w:position w:val="0"/>
          <w:sz w:val="32"/>
          <w:szCs w:val="32"/>
        </w:rPr>
        <w:t>и</w:t>
      </w:r>
      <w:r>
        <w:rPr>
          <w:rFonts w:ascii="Times New Roman" w:hAnsi="Times New Roman"/>
          <w:b/>
          <w:bCs/>
          <w:color w:val="404040"/>
          <w:position w:val="0"/>
          <w:sz w:val="32"/>
          <w:szCs w:val="32"/>
        </w:rPr>
        <w:t>с</w:t>
      </w:r>
      <w:r>
        <w:rPr>
          <w:rFonts w:ascii="Times New Roman" w:hAnsi="Times New Roman"/>
          <w:b/>
          <w:bCs/>
          <w:color w:val="404040"/>
          <w:spacing w:val="-3"/>
          <w:position w:val="0"/>
          <w:sz w:val="32"/>
          <w:szCs w:val="32"/>
        </w:rPr>
        <w:t>т</w:t>
      </w:r>
      <w:r>
        <w:rPr>
          <w:rFonts w:ascii="Times New Roman" w:hAnsi="Times New Roman"/>
          <w:b/>
          <w:bCs/>
          <w:color w:val="404040"/>
          <w:position w:val="0"/>
          <w:sz w:val="32"/>
          <w:szCs w:val="32"/>
        </w:rPr>
        <w:t>и</w:t>
      </w:r>
      <w:r>
        <w:rPr>
          <w:rFonts w:ascii="Times New Roman" w:hAnsi="Times New Roman"/>
          <w:b/>
          <w:bCs/>
          <w:color w:val="404040"/>
          <w:spacing w:val="-2"/>
          <w:position w:val="0"/>
          <w:sz w:val="32"/>
          <w:szCs w:val="32"/>
        </w:rPr>
        <w:t>к</w:t>
      </w:r>
      <w:r>
        <w:rPr>
          <w:rFonts w:ascii="Times New Roman" w:hAnsi="Times New Roman"/>
          <w:b/>
          <w:bCs/>
          <w:color w:val="404040"/>
          <w:position w:val="0"/>
          <w:sz w:val="32"/>
          <w:szCs w:val="32"/>
        </w:rPr>
        <w:t>и</w:t>
      </w:r>
      <w:r>
        <w:rPr>
          <w:rFonts w:ascii="Times New Roman" w:hAnsi="Times New Roman"/>
          <w:b/>
          <w:bCs/>
          <w:color w:val="404040"/>
          <w:spacing w:val="-2"/>
          <w:position w:val="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404040"/>
          <w:position w:val="0"/>
          <w:sz w:val="32"/>
          <w:szCs w:val="32"/>
        </w:rPr>
        <w:t>б</w:t>
      </w:r>
      <w:r>
        <w:rPr>
          <w:rFonts w:ascii="Times New Roman" w:hAnsi="Times New Roman"/>
          <w:b/>
          <w:bCs/>
          <w:color w:val="404040"/>
          <w:spacing w:val="-22"/>
          <w:position w:val="0"/>
          <w:sz w:val="32"/>
          <w:szCs w:val="32"/>
        </w:rPr>
        <w:t>ю</w:t>
      </w:r>
      <w:r>
        <w:rPr>
          <w:rFonts w:ascii="Times New Roman" w:hAnsi="Times New Roman"/>
          <w:b/>
          <w:bCs/>
          <w:color w:val="404040"/>
          <w:spacing w:val="-2"/>
          <w:position w:val="0"/>
          <w:sz w:val="32"/>
          <w:szCs w:val="32"/>
        </w:rPr>
        <w:t>д</w:t>
      </w:r>
      <w:r>
        <w:rPr>
          <w:rFonts w:ascii="Times New Roman" w:hAnsi="Times New Roman"/>
          <w:b/>
          <w:bCs/>
          <w:color w:val="404040"/>
          <w:spacing w:val="-5"/>
          <w:position w:val="0"/>
          <w:sz w:val="32"/>
          <w:szCs w:val="32"/>
        </w:rPr>
        <w:t>ж</w:t>
      </w:r>
      <w:r>
        <w:rPr>
          <w:rFonts w:ascii="Times New Roman" w:hAnsi="Times New Roman"/>
          <w:b/>
          <w:bCs/>
          <w:color w:val="404040"/>
          <w:position w:val="0"/>
          <w:sz w:val="32"/>
          <w:szCs w:val="32"/>
        </w:rPr>
        <w:t>е</w:t>
      </w:r>
      <w:r>
        <w:rPr>
          <w:rFonts w:ascii="Times New Roman" w:hAnsi="Times New Roman"/>
          <w:b/>
          <w:bCs/>
          <w:color w:val="404040"/>
          <w:spacing w:val="-8"/>
          <w:position w:val="0"/>
          <w:sz w:val="32"/>
          <w:szCs w:val="32"/>
        </w:rPr>
        <w:t>та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en-US"/>
        </w:rPr>
      </w:pPr>
      <w:r>
        <w:rPr/>
        <w:drawing>
          <wp:inline distT="0" distB="0" distL="19050" distR="0">
            <wp:extent cx="6248400" cy="4171950"/>
            <wp:effectExtent l="0" t="0" r="0" b="0"/>
            <wp:docPr id="10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Дефицит и профицит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  <w:lang w:val="en-US"/>
        </w:rPr>
      </w:pPr>
      <w:r>
        <w:rPr/>
        <w:drawing>
          <wp:inline distT="0" distB="0" distL="19050" distR="9525">
            <wp:extent cx="5934075" cy="3476625"/>
            <wp:effectExtent l="0" t="0" r="0" b="0"/>
            <wp:docPr id="1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b/>
          <w:sz w:val="32"/>
          <w:szCs w:val="32"/>
          <w:highlight w:val="yellow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b/>
          <w:sz w:val="32"/>
          <w:szCs w:val="32"/>
          <w:highlight w:val="yellow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b/>
          <w:sz w:val="32"/>
          <w:szCs w:val="32"/>
          <w:highlight w:val="yellow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Доходы бюджета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lang w:eastAsia="ru-RU"/>
        </w:rPr>
      </w:pPr>
      <w:r>
        <w:rPr/>
        <w:drawing>
          <wp:inline distT="0" distB="0" distL="19050" distR="9525">
            <wp:extent cx="5934075" cy="2819400"/>
            <wp:effectExtent l="0" t="0" r="0" b="0"/>
            <wp:docPr id="1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Межбюджетные трансферты - основной вид безвозмездных перечислений</w:t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  <w:b/>
          <w:sz w:val="32"/>
          <w:szCs w:val="32"/>
        </w:rPr>
      </w:pPr>
      <w:r>
        <w:rPr/>
        <w:drawing>
          <wp:inline distT="0" distB="0" distL="19050" distR="9525">
            <wp:extent cx="6296025" cy="4162425"/>
            <wp:effectExtent l="0" t="0" r="0" b="0"/>
            <wp:docPr id="1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Федеральные, региональные и местные налоги.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highlight w:val="yellow"/>
        </w:rPr>
      </w:pPr>
      <w:r>
        <w:rPr/>
        <w:drawing>
          <wp:inline distT="0" distB="0" distL="19050" distR="0">
            <wp:extent cx="6248400" cy="4410075"/>
            <wp:effectExtent l="0" t="0" r="0" b="0"/>
            <wp:docPr id="14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Налоги, зачисляемые в бюджет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90"/>
        <w:gridCol w:w="3190"/>
        <w:gridCol w:w="3509"/>
      </w:tblGrid>
      <w:tr>
        <w:trPr/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5050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99FF33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66CCFF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Земельный налог</w:t>
            </w:r>
          </w:p>
        </w:tc>
      </w:tr>
      <w:tr>
        <w:trPr>
          <w:trHeight w:val="2153" w:hRule="atLeast"/>
        </w:trPr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rPr>
                <w:rFonts w:ascii="Times New Roman" w:hAnsi="Times New Roman" w:eastAsia="Calibri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3 %                                    100 %                                      100 %</w:t>
            </w:r>
          </w:p>
          <w:p>
            <w:pPr>
              <w:pStyle w:val="Normal"/>
              <w:widowControl w:val="false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</w:r>
            <w:r>
              <mc:AlternateContent>
                <mc:Choice Requires="wps">
                  <w:drawing>
                    <wp:anchor behindDoc="0" distT="0" distB="0" distL="114300" distR="97155" simplePos="0" locked="0" layoutInCell="1" allowOverlap="1" relativeHeight="3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1270</wp:posOffset>
                      </wp:positionV>
                      <wp:extent cx="876300" cy="823595"/>
                      <wp:effectExtent l="0" t="0" r="17145" b="17145"/>
                      <wp:wrapNone/>
                      <wp:docPr id="15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823595"/>
                              </a:xfrm>
                              <a:prstGeom prst="rect"/>
                              <a:solidFill>
                                <a:srgbClr val="FF5050"/>
                              </a:solidFill>
                              <a:ln w="12700">
                                <a:solidFill>
                                  <a:srgbClr val="4F81BD"/>
                                </a:solidFill>
                              </a:ln>
                              <a:effectLst>
                                <a:outerShdw dist="24130" dir="2700000">
                                  <a:srgbClr val="243F6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Style20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FF5050" strokecolor="#4F81BD" strokeweight="1pt" style="position:absolute;rotation:0;width:69pt;height:64.85pt;mso-wrap-distance-left:9pt;mso-wrap-distance-right:9pt;mso-wrap-distance-top:0pt;mso-wrap-distance-bottom:0pt;margin-top:0.1pt;mso-position-vertical-relative:text;margin-left:42.45pt;mso-position-horizontal-relative:text">
                      <v:shadow on="t" color="#243F60" offset="1.35pt,1.35pt"/>
                      <v:textbo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97155" simplePos="0" locked="0" layoutInCell="1" allowOverlap="1" relativeHeight="4">
                      <wp:simplePos x="0" y="0"/>
                      <wp:positionH relativeFrom="column">
                        <wp:posOffset>4692015</wp:posOffset>
                      </wp:positionH>
                      <wp:positionV relativeFrom="paragraph">
                        <wp:posOffset>2540</wp:posOffset>
                      </wp:positionV>
                      <wp:extent cx="809625" cy="824230"/>
                      <wp:effectExtent l="0" t="0" r="17145" b="17145"/>
                      <wp:wrapNone/>
                      <wp:docPr id="16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824230"/>
                              </a:xfrm>
                              <a:prstGeom prst="rect"/>
                              <a:solidFill>
                                <a:srgbClr val="66CCFF"/>
                              </a:solidFill>
                              <a:ln w="12700">
                                <a:solidFill>
                                  <a:srgbClr val="4F81BD"/>
                                </a:solidFill>
                              </a:ln>
                              <a:effectLst>
                                <a:outerShdw dist="24130" dir="2700000">
                                  <a:srgbClr val="243F6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Style20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66CCFF" strokecolor="#4F81BD" strokeweight="1pt" style="position:absolute;rotation:0;width:63.75pt;height:64.9pt;mso-wrap-distance-left:9pt;mso-wrap-distance-right:9pt;mso-wrap-distance-top:0pt;mso-wrap-distance-bottom:0pt;margin-top:0.2pt;mso-position-vertical-relative:text;margin-left:369.45pt;mso-position-horizontal-relative:text">
                      <v:shadow on="t" color="#243F60" offset="1.35pt,1.35pt"/>
                      <v:textbo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behindDoc="0" distT="0" distB="0" distL="114300" distR="97155" simplePos="0" locked="0" layoutInCell="1" allowOverlap="1" relativeHeight="5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2540</wp:posOffset>
                      </wp:positionV>
                      <wp:extent cx="828675" cy="823595"/>
                      <wp:effectExtent l="0" t="0" r="17145" b="17145"/>
                      <wp:wrapNone/>
                      <wp:docPr id="17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823595"/>
                              </a:xfrm>
                              <a:prstGeom prst="rect"/>
                              <a:solidFill>
                                <a:srgbClr val="99FF33"/>
                              </a:solidFill>
                              <a:ln w="12700">
                                <a:solidFill>
                                  <a:srgbClr val="4F81BD"/>
                                </a:solidFill>
                              </a:ln>
                              <a:effectLst>
                                <a:outerShdw dist="24130" dir="2700000">
                                  <a:srgbClr val="243F60"/>
                                </a:outerShdw>
                              </a:effectLst>
                            </wps:spPr>
                            <wps:txbx>
                              <w:txbxContent>
                                <w:p>
                                  <w:pPr>
                                    <w:pStyle w:val="Style20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fillcolor="#99FF33" strokecolor="#4F81BD" strokeweight="1pt" style="position:absolute;rotation:0;width:65.25pt;height:64.85pt;mso-wrap-distance-left:9pt;mso-wrap-distance-right:9pt;mso-wrap-distance-top:0pt;mso-wrap-distance-bottom:0pt;margin-top:0.2pt;mso-position-vertical-relative:text;margin-left:196.85pt;mso-position-horizontal-relative:text">
                      <v:shadow on="t" color="#243F60" offset="1.35pt,1.35pt"/>
                      <v:textbox>
                        <w:txbxContent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cs="Calibri"/>
              </w:rPr>
            </w:pPr>
            <w:r>
              <w:rPr>
                <w:rFonts w:cs="Calibri" w:ascii="Arial" w:hAnsi="Arial"/>
              </w:rPr>
            </w:r>
          </w:p>
        </w:tc>
      </w:tr>
      <w:tr>
        <w:trPr>
          <w:trHeight w:val="419" w:hRule="atLeast"/>
        </w:trPr>
        <w:tc>
          <w:tcPr>
            <w:tcW w:w="9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99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Местный бюджет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highlight w:val="yellow"/>
        </w:rPr>
      </w:pPr>
      <w:r>
        <w:rPr>
          <w:rFonts w:ascii="Times New Roman" w:hAnsi="Times New Roman"/>
          <w:b/>
          <w:sz w:val="32"/>
          <w:szCs w:val="32"/>
          <w:highlight w:val="yellow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 xml:space="preserve">Структура доходов бюджета Николаевского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8946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5262"/>
        <w:gridCol w:w="1678"/>
        <w:gridCol w:w="2006"/>
      </w:tblGrid>
      <w:tr>
        <w:trPr>
          <w:trHeight w:val="322" w:hRule="atLeast"/>
        </w:trPr>
        <w:tc>
          <w:tcPr>
            <w:tcW w:w="5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 2018 года</w:t>
            </w:r>
          </w:p>
        </w:tc>
        <w:tc>
          <w:tcPr>
            <w:tcW w:w="2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 2018 года</w:t>
            </w:r>
          </w:p>
        </w:tc>
      </w:tr>
      <w:tr>
        <w:trPr>
          <w:trHeight w:val="322" w:hRule="atLeast"/>
        </w:trPr>
        <w:tc>
          <w:tcPr>
            <w:tcW w:w="52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5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доходы всего: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1320,3</w:t>
            </w:r>
          </w:p>
        </w:tc>
        <w:tc>
          <w:tcPr>
            <w:tcW w:w="20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1401,8</w:t>
            </w:r>
          </w:p>
        </w:tc>
      </w:tr>
      <w:tr>
        <w:trPr>
          <w:trHeight w:val="240" w:hRule="atLeast"/>
        </w:trPr>
        <w:tc>
          <w:tcPr>
            <w:tcW w:w="5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5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20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83,6</w:t>
            </w:r>
          </w:p>
        </w:tc>
      </w:tr>
      <w:tr>
        <w:trPr>
          <w:trHeight w:val="240" w:hRule="atLeast"/>
        </w:trPr>
        <w:tc>
          <w:tcPr>
            <w:tcW w:w="5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единый сельскохозяйственный  налог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179,7</w:t>
            </w:r>
          </w:p>
        </w:tc>
        <w:tc>
          <w:tcPr>
            <w:tcW w:w="20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179,7</w:t>
            </w:r>
          </w:p>
        </w:tc>
      </w:tr>
      <w:tr>
        <w:trPr>
          <w:trHeight w:val="240" w:hRule="atLeast"/>
        </w:trPr>
        <w:tc>
          <w:tcPr>
            <w:tcW w:w="5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185,4</w:t>
            </w:r>
          </w:p>
        </w:tc>
        <w:tc>
          <w:tcPr>
            <w:tcW w:w="20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185,4</w:t>
            </w:r>
          </w:p>
        </w:tc>
      </w:tr>
      <w:tr>
        <w:trPr>
          <w:trHeight w:val="240" w:hRule="atLeast"/>
        </w:trPr>
        <w:tc>
          <w:tcPr>
            <w:tcW w:w="5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871,7</w:t>
            </w:r>
          </w:p>
        </w:tc>
        <w:tc>
          <w:tcPr>
            <w:tcW w:w="20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953,1</w:t>
            </w:r>
          </w:p>
        </w:tc>
      </w:tr>
      <w:tr>
        <w:trPr>
          <w:trHeight w:val="240" w:hRule="atLeast"/>
        </w:trPr>
        <w:tc>
          <w:tcPr>
            <w:tcW w:w="5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Неналоговые доходы всего: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20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9,8</w:t>
            </w:r>
          </w:p>
        </w:tc>
      </w:tr>
      <w:tr>
        <w:trPr>
          <w:trHeight w:val="240" w:hRule="atLeast"/>
        </w:trPr>
        <w:tc>
          <w:tcPr>
            <w:tcW w:w="5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от арендной платы за имущество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20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</w:tr>
      <w:tr>
        <w:trPr>
          <w:trHeight w:val="240" w:hRule="atLeast"/>
        </w:trPr>
        <w:tc>
          <w:tcPr>
            <w:tcW w:w="5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доходы поступающие в порядке возмещения расходов, понесенных от эксплуатации имущества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20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>
        <w:trPr>
          <w:trHeight w:val="240" w:hRule="atLeast"/>
        </w:trPr>
        <w:tc>
          <w:tcPr>
            <w:tcW w:w="5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всего: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159,5</w:t>
            </w:r>
          </w:p>
        </w:tc>
        <w:tc>
          <w:tcPr>
            <w:tcW w:w="20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159,5</w:t>
            </w:r>
          </w:p>
        </w:tc>
      </w:tr>
      <w:tr>
        <w:trPr>
          <w:trHeight w:val="322" w:hRule="atLeast"/>
        </w:trPr>
        <w:tc>
          <w:tcPr>
            <w:tcW w:w="5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22" w:hRule="atLeast"/>
        </w:trPr>
        <w:tc>
          <w:tcPr>
            <w:tcW w:w="5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25,9</w:t>
            </w:r>
          </w:p>
        </w:tc>
        <w:tc>
          <w:tcPr>
            <w:tcW w:w="2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25,9</w:t>
            </w:r>
          </w:p>
        </w:tc>
      </w:tr>
      <w:tr>
        <w:trPr>
          <w:trHeight w:val="322" w:hRule="atLeast"/>
        </w:trPr>
        <w:tc>
          <w:tcPr>
            <w:tcW w:w="52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22" w:hRule="atLeast"/>
        </w:trPr>
        <w:tc>
          <w:tcPr>
            <w:tcW w:w="52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22" w:hRule="atLeast"/>
        </w:trPr>
        <w:tc>
          <w:tcPr>
            <w:tcW w:w="52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образований.</w:t>
            </w:r>
          </w:p>
        </w:tc>
        <w:tc>
          <w:tcPr>
            <w:tcW w:w="16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708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2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73,5</w:t>
            </w:r>
          </w:p>
        </w:tc>
      </w:tr>
      <w:tr>
        <w:trPr>
          <w:trHeight w:val="322" w:hRule="atLeast"/>
        </w:trPr>
        <w:tc>
          <w:tcPr>
            <w:tcW w:w="52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ind w:left="708" w:hanging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322" w:hRule="atLeast"/>
        </w:trPr>
        <w:tc>
          <w:tcPr>
            <w:tcW w:w="52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>
          <w:trHeight w:val="240" w:hRule="atLeast"/>
        </w:trPr>
        <w:tc>
          <w:tcPr>
            <w:tcW w:w="5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  <w:tc>
          <w:tcPr>
            <w:tcW w:w="20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60,1</w:t>
            </w:r>
          </w:p>
        </w:tc>
      </w:tr>
      <w:tr>
        <w:trPr>
          <w:trHeight w:val="240" w:hRule="atLeast"/>
        </w:trPr>
        <w:tc>
          <w:tcPr>
            <w:tcW w:w="52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доходов:</w:t>
            </w:r>
          </w:p>
        </w:tc>
        <w:tc>
          <w:tcPr>
            <w:tcW w:w="16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1489,6</w:t>
            </w:r>
          </w:p>
        </w:tc>
        <w:tc>
          <w:tcPr>
            <w:tcW w:w="200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1571,1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в 2018 году составили – 1571,1 тыс. руб.</w:t>
      </w:r>
    </w:p>
    <w:p>
      <w:pPr>
        <w:pStyle w:val="Normal"/>
        <w:spacing w:lineRule="auto" w:line="24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105525" cy="1562100"/>
            <wp:effectExtent l="0" t="0" r="0" b="0"/>
            <wp:docPr id="1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Доходы бюджета Николаевского 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расчете на 1 жителя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численность населения Николаевского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01.01.18г. 574 человек)                  </w:t>
      </w:r>
    </w:p>
    <w:tbl>
      <w:tblPr>
        <w:tblStyle w:val="a6"/>
        <w:tblW w:w="9355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379"/>
        <w:gridCol w:w="2975"/>
      </w:tblGrid>
      <w:tr>
        <w:trPr/>
        <w:tc>
          <w:tcPr>
            <w:tcW w:w="6379" w:type="dxa"/>
            <w:tcBorders/>
            <w:shd w:color="auto" w:fill="CFDEB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b/>
                <w:sz w:val="28"/>
                <w:szCs w:val="28"/>
              </w:rPr>
              <w:t>Наименование доходов</w:t>
            </w:r>
          </w:p>
        </w:tc>
        <w:tc>
          <w:tcPr>
            <w:tcW w:w="2975" w:type="dxa"/>
            <w:tcBorders/>
            <w:shd w:color="auto" w:fill="CFDEB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b/>
                <w:sz w:val="28"/>
                <w:szCs w:val="28"/>
              </w:rPr>
              <w:t>2018 год отчет (руб.)</w:t>
            </w:r>
          </w:p>
        </w:tc>
      </w:tr>
      <w:tr>
        <w:trPr/>
        <w:tc>
          <w:tcPr>
            <w:tcW w:w="6379" w:type="dxa"/>
            <w:tcBorders/>
            <w:shd w:color="auto" w:fill="CFDEB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Доходы всего, в том числе :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2737,0</w:t>
            </w:r>
          </w:p>
        </w:tc>
      </w:tr>
      <w:tr>
        <w:trPr/>
        <w:tc>
          <w:tcPr>
            <w:tcW w:w="6379" w:type="dxa"/>
            <w:tcBorders/>
            <w:shd w:color="auto" w:fill="CFDEB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2459,0</w:t>
            </w:r>
          </w:p>
        </w:tc>
      </w:tr>
      <w:tr>
        <w:trPr/>
        <w:tc>
          <w:tcPr>
            <w:tcW w:w="6379" w:type="dxa"/>
            <w:tcBorders/>
            <w:shd w:color="auto" w:fill="CFDEB0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278,0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Основными бюджетообразующими доходами бюджета муниципального образования являются земельный налог, налог имущество физических 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единый сельскохозяйственный  налог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РАСХОДЫ.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Расходы бюджета – выплачиваемые из бюджета денежные средства.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каких единицах измеряются параметры бюджетов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  <w:drawing>
          <wp:inline distT="0" distB="0" distL="19050" distR="0">
            <wp:extent cx="6248400" cy="2286000"/>
            <wp:effectExtent l="0" t="0" r="0" b="0"/>
            <wp:docPr id="19" name="Рисунок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>
          <w:rFonts w:ascii="Times New Roman" w:hAnsi="Times New Roman"/>
          <w:b/>
          <w:sz w:val="32"/>
          <w:szCs w:val="32"/>
          <w:lang w:val="en-US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Расходы по основным функциям муниципального образования.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  <w:lang w:val="en-US"/>
        </w:rPr>
      </w:pPr>
      <w:r>
        <w:rPr/>
        <w:drawing>
          <wp:inline distT="0" distB="0" distL="19050" distR="9525">
            <wp:extent cx="6296025" cy="1905000"/>
            <wp:effectExtent l="0" t="0" r="0" b="0"/>
            <wp:docPr id="20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Структура расходов бюджета Николаевского муниципального образования по разделам за 2018 год.</w:t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 xml:space="preserve">                                                    %</w:t>
      </w:r>
    </w:p>
    <w:tbl>
      <w:tblPr>
        <w:tblW w:w="1007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63"/>
        <w:gridCol w:w="5661"/>
        <w:gridCol w:w="1654"/>
        <w:gridCol w:w="1700"/>
      </w:tblGrid>
      <w:tr>
        <w:trPr/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2018года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Факт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2018года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85,3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86,5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32"/>
          <w:szCs w:val="32"/>
        </w:rPr>
      </w:pPr>
      <w:r>
        <w:rPr/>
        <w:drawing>
          <wp:inline distT="0" distB="0" distL="0" distR="0">
            <wp:extent cx="5924550" cy="2590800"/>
            <wp:effectExtent l="0" t="0" r="0" b="0"/>
            <wp:docPr id="2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Структура расходов.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Расходы бюджета Николаевского муниципального образования по основным разделам на душу населения</w:t>
        <w:tab/>
        <w:tab/>
        <w:tab/>
        <w:tab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1013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063"/>
        <w:gridCol w:w="5998"/>
        <w:gridCol w:w="1554"/>
        <w:gridCol w:w="1521"/>
      </w:tblGrid>
      <w:tr>
        <w:trPr/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 года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Факт 2018года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111,80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71,40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5,23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5,23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работников органов местного самоуправления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2362,21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2337,22</w:t>
            </w:r>
          </w:p>
        </w:tc>
      </w:tr>
      <w:tr>
        <w:trPr/>
        <w:tc>
          <w:tcPr>
            <w:tcW w:w="1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 расходы местного бюджета</w:t>
            </w:r>
          </w:p>
        </w:tc>
        <w:tc>
          <w:tcPr>
            <w:tcW w:w="1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2768,29</w:t>
            </w:r>
          </w:p>
        </w:tc>
        <w:tc>
          <w:tcPr>
            <w:tcW w:w="1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2702,89</w:t>
            </w:r>
          </w:p>
        </w:tc>
      </w:tr>
    </w:tbl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drawing>
          <wp:inline distT="0" distB="0" distL="0" distR="0">
            <wp:extent cx="5810250" cy="2684780"/>
            <wp:effectExtent l="0" t="0" r="0" b="0"/>
            <wp:docPr id="2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                      тыс. руб.</w:t>
      </w:r>
    </w:p>
    <w:tbl>
      <w:tblPr>
        <w:tblW w:w="10173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353"/>
        <w:gridCol w:w="1700"/>
        <w:gridCol w:w="1560"/>
        <w:gridCol w:w="1559"/>
      </w:tblGrid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Расходы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План 2018 года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Факт 2018 года</w:t>
            </w:r>
          </w:p>
        </w:tc>
      </w:tr>
      <w:tr>
        <w:trPr>
          <w:trHeight w:val="1046" w:hRule="atLeast"/>
        </w:trPr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Общегосударственные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вопросы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object>
                <v:shape id="ole_rId14" style="width:52.5pt;height:39pt" o:ole="">
                  <v:imagedata r:id="rId15" o:title=""/>
                </v:shape>
                <o:OLEObject Type="Embed" ProgID="PBrush" ShapeID="ole_rId14" DrawAspect="Content" ObjectID="_795596670" r:id="rId14"/>
              </w:objec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1355,9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1341,6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object>
                <v:shape id="ole_rId16" style="width:51pt;height:41.25pt" o:ole="">
                  <v:imagedata r:id="rId17" o:title=""/>
                </v:shape>
                <o:OLEObject Type="Embed" ProgID="PBrush" ShapeID="ole_rId16" DrawAspect="Content" ObjectID="_467140632" r:id="rId16"/>
              </w:objec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73,5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/>
              </w:rPr>
            </w:pPr>
            <w:r>
              <w:rPr/>
              <w:object>
                <v:shape id="ole_rId18" style="width:48pt;height:42.75pt" o:ole="">
                  <v:imagedata r:id="rId19" o:title=""/>
                </v:shape>
                <o:OLEObject Type="Embed" ProgID="PBrush" ShapeID="ole_rId18" DrawAspect="Content" ObjectID="_59835013" r:id="rId18"/>
              </w:objec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92,4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object>
                <v:shape id="ole_rId20" style="width:45pt;height:42pt" o:ole="">
                  <v:imagedata r:id="rId21" o:title=""/>
                </v:shape>
                <o:OLEObject Type="Embed" ProgID="PBrush" ShapeID="ole_rId20" DrawAspect="Content" ObjectID="_1340596755" r:id="rId20"/>
              </w:objec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/>
              <w:object>
                <v:shape id="ole_rId22" style="width:45.75pt;height:36.75pt" o:ole="">
                  <v:imagedata r:id="rId23" o:title=""/>
                </v:shape>
                <o:OLEObject Type="Embed" ProgID="PBrush" ShapeID="ole_rId22" DrawAspect="Content" ObjectID="_1084733072" r:id="rId22"/>
              </w:objec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</w:t>
            </w:r>
          </w:p>
        </w:tc>
      </w:tr>
      <w:tr>
        <w:trPr/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6E3BC" w:themeFill="accent3" w:themeFillTint="66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ИТОГО расходов: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/>
                <w:b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1589,0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1551,5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/>
        <w:drawing>
          <wp:inline distT="0" distB="0" distL="0" distR="0">
            <wp:extent cx="5905500" cy="1866900"/>
            <wp:effectExtent l="0" t="0" r="0" b="0"/>
            <wp:docPr id="2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8" w:right="567" w:header="0" w:top="170" w:footer="0" w:bottom="17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3134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51bb8"/>
    <w:rPr>
      <w:rFonts w:ascii="Tahoma" w:hAnsi="Tahoma" w:cs="Tahoma"/>
      <w:sz w:val="16"/>
      <w:szCs w:val="16"/>
      <w:lang w:eastAsia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nhideWhenUsed/>
    <w:qFormat/>
    <w:rsid w:val="00f51f39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51bb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298"/>
    <w:pPr>
      <w:spacing w:before="0" w:after="200"/>
      <w:ind w:left="720" w:hanging="0"/>
      <w:contextualSpacing/>
    </w:pPr>
    <w:rPr>
      <w:rFonts w:eastAsia="Calibri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7347c0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chart" Target="charts/chart1.xml"/><Relationship Id="rId10" Type="http://schemas.openxmlformats.org/officeDocument/2006/relationships/image" Target="media/image8.png"/><Relationship Id="rId11" Type="http://schemas.openxmlformats.org/officeDocument/2006/relationships/image" Target="media/image9.png"/><Relationship Id="rId12" Type="http://schemas.openxmlformats.org/officeDocument/2006/relationships/chart" Target="charts/chart2.xml"/><Relationship Id="rId13" Type="http://schemas.openxmlformats.org/officeDocument/2006/relationships/chart" Target="charts/chart3.xml"/><Relationship Id="rId14" Type="http://schemas.openxmlformats.org/officeDocument/2006/relationships/oleObject" Target="embeddings/oleObject1.bin"/><Relationship Id="rId15" Type="http://schemas.openxmlformats.org/officeDocument/2006/relationships/image" Target="media/image10.emf"/><Relationship Id="rId16" Type="http://schemas.openxmlformats.org/officeDocument/2006/relationships/oleObject" Target="embeddings/oleObject2.bin"/><Relationship Id="rId17" Type="http://schemas.openxmlformats.org/officeDocument/2006/relationships/image" Target="media/image11.emf"/><Relationship Id="rId18" Type="http://schemas.openxmlformats.org/officeDocument/2006/relationships/oleObject" Target="embeddings/oleObject3.bin"/><Relationship Id="rId19" Type="http://schemas.openxmlformats.org/officeDocument/2006/relationships/image" Target="media/image12.emf"/><Relationship Id="rId20" Type="http://schemas.openxmlformats.org/officeDocument/2006/relationships/oleObject" Target="embeddings/oleObject4.bin"/><Relationship Id="rId21" Type="http://schemas.openxmlformats.org/officeDocument/2006/relationships/image" Target="media/image13.emf"/><Relationship Id="rId22" Type="http://schemas.openxmlformats.org/officeDocument/2006/relationships/oleObject" Target="embeddings/oleObject5.bin"/><Relationship Id="rId23" Type="http://schemas.openxmlformats.org/officeDocument/2006/relationships/image" Target="media/image14.emf"/><Relationship Id="rId24" Type="http://schemas.openxmlformats.org/officeDocument/2006/relationships/chart" Target="charts/chart4.xml"/><Relationship Id="rId25" Type="http://schemas.openxmlformats.org/officeDocument/2006/relationships/fontTable" Target="fontTable.xml"/><Relationship Id="rId26" Type="http://schemas.openxmlformats.org/officeDocument/2006/relationships/settings" Target="settings.xml"/><Relationship Id="rId27" Type="http://schemas.openxmlformats.org/officeDocument/2006/relationships/theme" Target="theme/theme1.xml"/><Relationship Id="rId28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4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Доходы 2018г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25"/>
          <c:dPt>
            <c:idx val="0"/>
            <c:spPr>
              <a:solidFill>
                <a:srgbClr val="4f81bd"/>
              </a:solidFill>
              <a:ln>
                <a:noFill/>
              </a:ln>
            </c:spPr>
          </c:dPt>
          <c:dPt>
            <c:idx val="1"/>
            <c:spPr>
              <a:solidFill>
                <a:srgbClr val="c0504d"/>
              </a:solidFill>
              <a:ln>
                <a:noFill/>
              </a:ln>
            </c:spPr>
          </c:dPt>
          <c:dPt>
            <c:idx val="2"/>
            <c:spPr>
              <a:solidFill>
                <a:srgbClr val="9bbb59"/>
              </a:solidFill>
              <a:ln>
                <a:noFill/>
              </a:ln>
            </c:spPr>
          </c:dPt>
          <c:dPt>
            <c:idx val="3"/>
            <c:spPr>
              <a:solidFill>
                <a:srgbClr val="8064a2"/>
              </a:solidFill>
              <a:ln>
                <a:noFill/>
              </a:ln>
            </c:spPr>
          </c:dPt>
          <c:dPt>
            <c:idx val="4"/>
            <c:spPr>
              <a:solidFill>
                <a:srgbClr val="4bacc6"/>
              </a:solidFill>
              <a:ln>
                <a:noFill/>
              </a:ln>
            </c:spPr>
          </c:dPt>
          <c:dPt>
            <c:idx val="5"/>
            <c:spPr>
              <a:solidFill>
                <a:srgbClr val="f79646"/>
              </a:solidFill>
              <a:ln>
                <a:noFill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5"/>
              <c:dLblPos val="bestFit"/>
              <c:showLegendKey val="0"/>
              <c:showVal val="0"/>
              <c:showCatName val="0"/>
              <c:showSerName val="0"/>
              <c:showPercent val="1"/>
            </c:dLbl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Безвозмемездные поступления</c:v>
                </c:pt>
                <c:pt idx="1">
                  <c:v>НДФЛ</c:v>
                </c:pt>
                <c:pt idx="2">
                  <c:v>Единый сельхоз налог</c:v>
                </c:pt>
                <c:pt idx="3">
                  <c:v>Налог на имущество физических лиц</c:v>
                </c:pt>
                <c:pt idx="4">
                  <c:v>Земельный налог</c:v>
                </c:pt>
                <c:pt idx="5">
                  <c:v>Неналоговые доходы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0.102</c:v>
                </c:pt>
                <c:pt idx="1">
                  <c:v>0.053</c:v>
                </c:pt>
                <c:pt idx="2">
                  <c:v>0.114</c:v>
                </c:pt>
                <c:pt idx="3">
                  <c:v>0.118</c:v>
                </c:pt>
                <c:pt idx="4">
                  <c:v>0.607</c:v>
                </c:pt>
                <c:pt idx="5">
                  <c:v>0.006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ayout>
        <c:manualLayout>
          <c:xMode val="edge"/>
          <c:yMode val="edge"/>
          <c:x val="0.63525"/>
          <c:y val="0.0433333333333333"/>
        </c:manualLayout>
      </c:layout>
      <c:spPr>
        <a:noFill/>
        <a:ln>
          <a:noFill/>
        </a:ln>
      </c:spPr>
    </c:legend>
    <c:plotVisOnly val="1"/>
    <c:dispBlanksAs val="zero"/>
  </c:chart>
  <c:spPr>
    <a:solidFill>
      <a:srgbClr val="ebf1de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solidFill>
          <a:srgbClr val="c0c0c0"/>
        </a:solidFill>
        <a:ln w="3240">
          <a:solidFill>
            <a:srgbClr val="000000"/>
          </a:solidFill>
          <a:round/>
        </a:ln>
      </c:spPr>
    </c:floor>
    <c:backWall>
      <c:spPr>
        <a:solidFill>
          <a:srgbClr val="c0c0c0"/>
        </a:solidFill>
        <a:ln w="12600">
          <a:solidFill>
            <a:srgbClr val="808080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spPr>
            <a:solidFill>
              <a:srgbClr val="9999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План 2018г</c:v>
                </c:pt>
                <c:pt idx="1">
                  <c:v>Факт 2018г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85.3</c:v>
                </c:pt>
                <c:pt idx="1">
                  <c:v>86.5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Национальная оборона</c:v>
                </c:pt>
              </c:strCache>
            </c:strRef>
          </c:tx>
          <c:spPr>
            <a:solidFill>
              <a:srgbClr val="993366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План 2018г</c:v>
                </c:pt>
                <c:pt idx="1">
                  <c:v>Факт 2018г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4.6</c:v>
                </c:pt>
                <c:pt idx="1">
                  <c:v>4.8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ccff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План 2018г</c:v>
                </c:pt>
                <c:pt idx="1">
                  <c:v>Факт 2018г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5.9</c:v>
                </c:pt>
                <c:pt idx="1">
                  <c:v>5.9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660066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План 2018г</c:v>
                </c:pt>
                <c:pt idx="1">
                  <c:v>Факт 2018г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2"/>
                <c:pt idx="0">
                  <c:v>4</c:v>
                </c:pt>
                <c:pt idx="1">
                  <c:v>2.6</c:v>
                </c:pt>
              </c:numCache>
            </c:numRef>
          </c:val>
        </c:ser>
        <c:gapWidth val="150"/>
        <c:shape val="box"/>
        <c:axId val="10608280"/>
        <c:axId val="77681237"/>
        <c:axId val="0"/>
      </c:bar3DChart>
      <c:catAx>
        <c:axId val="10608280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low"/>
        <c:spPr>
          <a:ln w="3240">
            <a:solidFill>
              <a:srgbClr val="000000"/>
            </a:solidFill>
            <a:round/>
          </a:ln>
        </c:spPr>
        <c:txPr>
          <a:bodyPr/>
          <a:p>
            <a:pPr>
              <a:defRPr b="1" sz="799" spc="-1" strike="noStrike">
                <a:solidFill>
                  <a:srgbClr val="000000"/>
                </a:solidFill>
                <a:latin typeface="Arial Cyr"/>
                <a:ea typeface="Arial Cyr"/>
              </a:defRPr>
            </a:pPr>
          </a:p>
        </c:txPr>
        <c:crossAx val="77681237"/>
        <c:crosses val="autoZero"/>
        <c:auto val="1"/>
        <c:lblAlgn val="ctr"/>
        <c:lblOffset val="100"/>
      </c:catAx>
      <c:valAx>
        <c:axId val="77681237"/>
        <c:scaling>
          <c:orientation val="minMax"/>
        </c:scaling>
        <c:delete val="0"/>
        <c:axPos val="l"/>
        <c:majorGridlines>
          <c:spPr>
            <a:ln w="3240">
              <a:solidFill>
                <a:srgbClr val="000000"/>
              </a:solidFill>
              <a:round/>
            </a:ln>
          </c:spPr>
        </c:majorGridlines>
        <c:numFmt formatCode="0.0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p>
            <a:pPr>
              <a:defRPr b="1" sz="799" spc="-1" strike="noStrike">
                <a:solidFill>
                  <a:srgbClr val="000000"/>
                </a:solidFill>
                <a:latin typeface="Arial Cyr"/>
                <a:ea typeface="Arial Cyr"/>
              </a:defRPr>
            </a:pPr>
          </a:p>
        </c:txPr>
        <c:crossAx val="10608280"/>
        <c:crosses val="autoZero"/>
      </c:valAx>
      <c:spPr>
        <a:solidFill>
          <a:srgbClr val="c0c0c0"/>
        </a:solidFill>
        <a:ln w="12600">
          <a:solidFill>
            <a:srgbClr val="808080"/>
          </a:solidFill>
          <a:round/>
        </a:ln>
      </c:spPr>
    </c:plotArea>
    <c:legend>
      <c:legendPos val="r"/>
      <c:overlay val="0"/>
      <c:spPr>
        <a:noFill/>
        <a:ln w="3240">
          <a:solidFill>
            <a:srgbClr val="000000"/>
          </a:solidFill>
          <a:round/>
        </a:ln>
      </c:spPr>
    </c:legend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solidFill>
          <a:srgbClr val="c0c0c0"/>
        </a:solidFill>
        <a:ln w="3240">
          <a:solidFill>
            <a:srgbClr val="000000"/>
          </a:solidFill>
          <a:round/>
        </a:ln>
      </c:spPr>
    </c:floor>
    <c:backWall>
      <c:spPr>
        <a:solidFill>
          <a:srgbClr val="00ffff"/>
        </a:solidFill>
        <a:ln w="12600">
          <a:solidFill>
            <a:srgbClr val="808080"/>
          </a:solidFill>
          <a:round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Жилищно-коммунальное хозяйство</c:v>
                </c:pt>
              </c:strCache>
            </c:strRef>
          </c:tx>
          <c:spPr>
            <a:solidFill>
              <a:srgbClr val="9999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План 2018г</c:v>
                </c:pt>
                <c:pt idx="1">
                  <c:v>Факт 2018г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111.8</c:v>
                </c:pt>
                <c:pt idx="1">
                  <c:v>71.4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Культура, кинематография</c:v>
                </c:pt>
              </c:strCache>
            </c:strRef>
          </c:tx>
          <c:spPr>
            <a:solidFill>
              <a:srgbClr val="993366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План 2018г</c:v>
                </c:pt>
                <c:pt idx="1">
                  <c:v>Факт 2018г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5.23</c:v>
                </c:pt>
                <c:pt idx="1">
                  <c:v>5.23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Содержание работников органов местного самоуправления</c:v>
                </c:pt>
              </c:strCache>
            </c:strRef>
          </c:tx>
          <c:spPr>
            <a:solidFill>
              <a:srgbClr val="ff8080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План 2018г</c:v>
                </c:pt>
                <c:pt idx="1">
                  <c:v>Факт 2018г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2362.21</c:v>
                </c:pt>
                <c:pt idx="1">
                  <c:v>2337.22</c:v>
                </c:pt>
              </c:numCache>
            </c:numRef>
          </c:val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Расходы местного бюджета всего</c:v>
                </c:pt>
              </c:strCache>
            </c:strRef>
          </c:tx>
          <c:spPr>
            <a:solidFill>
              <a:srgbClr val="ccccff"/>
            </a:solidFill>
            <a:ln w="12600">
              <a:solidFill>
                <a:srgbClr val="000000"/>
              </a:solidFill>
              <a:round/>
            </a:ln>
          </c:spPr>
          <c:invertIfNegative val="0"/>
          <c:dLbls>
            <c:showLegendKey val="0"/>
            <c:showVal val="0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План 2018г</c:v>
                </c:pt>
                <c:pt idx="1">
                  <c:v>Факт 2018г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2"/>
                <c:pt idx="0">
                  <c:v>2768.29</c:v>
                </c:pt>
                <c:pt idx="1">
                  <c:v>2702.89</c:v>
                </c:pt>
              </c:numCache>
            </c:numRef>
          </c:val>
        </c:ser>
        <c:gapWidth val="150"/>
        <c:shape val="box"/>
        <c:axId val="37826917"/>
        <c:axId val="25720399"/>
        <c:axId val="0"/>
      </c:bar3DChart>
      <c:catAx>
        <c:axId val="37826917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low"/>
        <c:spPr>
          <a:ln w="3240">
            <a:solidFill>
              <a:srgbClr val="000000"/>
            </a:solidFill>
            <a:round/>
          </a:ln>
        </c:spPr>
        <c:txPr>
          <a:bodyPr/>
          <a:p>
            <a:pPr>
              <a:defRPr b="1" sz="997" spc="-1" strike="noStrike">
                <a:solidFill>
                  <a:srgbClr val="000000"/>
                </a:solidFill>
                <a:latin typeface="Arial Cyr"/>
                <a:ea typeface="Arial Cyr"/>
              </a:defRPr>
            </a:pPr>
          </a:p>
        </c:txPr>
        <c:crossAx val="25720399"/>
        <c:crosses val="autoZero"/>
        <c:auto val="1"/>
        <c:lblAlgn val="ctr"/>
        <c:lblOffset val="100"/>
      </c:catAx>
      <c:valAx>
        <c:axId val="25720399"/>
        <c:scaling>
          <c:orientation val="minMax"/>
        </c:scaling>
        <c:delete val="0"/>
        <c:axPos val="l"/>
        <c:majorGridlines>
          <c:spPr>
            <a:ln w="3240">
              <a:solidFill>
                <a:srgbClr val="000000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3240">
            <a:solidFill>
              <a:srgbClr val="000000"/>
            </a:solidFill>
            <a:round/>
          </a:ln>
        </c:spPr>
        <c:txPr>
          <a:bodyPr/>
          <a:p>
            <a:pPr>
              <a:defRPr b="1" sz="997" spc="-1" strike="noStrike">
                <a:solidFill>
                  <a:srgbClr val="000000"/>
                </a:solidFill>
                <a:latin typeface="Arial Cyr"/>
                <a:ea typeface="Arial Cyr"/>
              </a:defRPr>
            </a:pPr>
          </a:p>
        </c:txPr>
        <c:crossAx val="37826917"/>
        <c:crosses val="autoZero"/>
      </c:valAx>
      <c:spPr>
        <a:solidFill>
          <a:srgbClr val="00ffff"/>
        </a:solidFill>
        <a:ln w="12600">
          <a:solidFill>
            <a:srgbClr val="808080"/>
          </a:solidFill>
          <a:round/>
        </a:ln>
      </c:spPr>
    </c:plotArea>
    <c:legend>
      <c:layout>
        <c:manualLayout>
          <c:xMode val="edge"/>
          <c:yMode val="edge"/>
          <c:x val="0.694125"/>
          <c:y val="0.166"/>
        </c:manualLayout>
      </c:layout>
      <c:spPr>
        <a:noFill/>
        <a:ln w="3240">
          <a:solidFill>
            <a:srgbClr val="000000"/>
          </a:solidFill>
          <a:round/>
        </a:ln>
      </c:spPr>
    </c:legend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8"/>
      <c:rotY val="44"/>
      <c:rAngAx val="1"/>
      <c:perspective val="30"/>
    </c:view3D>
    <c:floor>
      <c:spPr>
        <a:noFill/>
        <a:ln w="25560">
          <a:noFill/>
        </a:ln>
      </c:spPr>
    </c:floor>
    <c:backWall>
      <c:spPr>
        <a:noFill/>
        <a:ln w="25560">
          <a:noFill/>
        </a:ln>
      </c:spPr>
    </c:backWall>
    <c:plotArea>
      <c:bar3DChart>
        <c:barDir val="col"/>
        <c:grouping val="clustered"/>
        <c:varyColors val="0"/>
        <c:ser>
          <c:idx val="0"/>
          <c:order val="0"/>
          <c:spPr>
            <a:solidFill>
              <a:srgbClr val="993366"/>
            </a:solidFill>
            <a:ln w="12600">
              <a:solidFill>
                <a:srgbClr val="000000"/>
              </a:solidFill>
              <a:round/>
            </a:ln>
          </c:spPr>
          <c:invertIfNegative val="0"/>
          <c:cat>
            <c:strRef>
              <c:f>categories</c:f>
              <c:strCache>
                <c:ptCount val="0"/>
              </c:strCache>
            </c:strRef>
          </c:cat>
        </c:ser>
        <c:gapWidth val="150"/>
        <c:shape val="box"/>
        <c:axId val="40079571"/>
        <c:axId val="54041895"/>
        <c:axId val="0"/>
      </c:bar3DChart>
      <c:catAx>
        <c:axId val="40079571"/>
        <c:scaling>
          <c:orientation val="minMax"/>
        </c:scaling>
        <c:delete val="0"/>
        <c:axPos val="b"/>
        <c:numFmt formatCode="MM/DD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1" sz="822" spc="-1" strike="noStrike">
                <a:solidFill>
                  <a:srgbClr val="000000"/>
                </a:solidFill>
                <a:latin typeface="Arial Cyr"/>
                <a:ea typeface="Arial Cyr"/>
              </a:defRPr>
            </a:pPr>
          </a:p>
        </c:txPr>
        <c:crossAx val="54041895"/>
        <c:crosses val="autoZero"/>
        <c:auto val="1"/>
        <c:lblAlgn val="ctr"/>
        <c:lblOffset val="100"/>
      </c:catAx>
      <c:valAx>
        <c:axId val="54041895"/>
        <c:scaling>
          <c:orientation val="minMax"/>
        </c:scaling>
        <c:delete val="1"/>
        <c:axPos val="l"/>
        <c:numFmt formatCode="General" sourceLinked="0"/>
        <c:majorTickMark val="out"/>
        <c:minorTickMark val="none"/>
        <c:tickLblPos val="none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1" sz="822" spc="-1" strike="noStrike">
                <a:solidFill>
                  <a:srgbClr val="000000"/>
                </a:solidFill>
                <a:latin typeface="Arial Cyr"/>
                <a:ea typeface="Arial Cyr"/>
              </a:defRPr>
            </a:pPr>
          </a:p>
        </c:txPr>
        <c:crossAx val="40079571"/>
        <c:crosses val="autoZero"/>
      </c:valAx>
      <c:spPr>
        <a:noFill/>
        <a:ln w="2556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1BBB5-AA46-4265-A14A-7CB96825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LibreOffice/5.4.3.2$Windows_X86_64 LibreOffice_project/92a7159f7e4af62137622921e809f8546db437e5</Application>
  <Pages>9</Pages>
  <Words>560</Words>
  <Characters>3811</Characters>
  <CharactersWithSpaces>4639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2015-04-16T11:24:00Z</dcterms:created>
  <dc:creator>пользователь</dc:creator>
  <dc:description/>
  <dc:language>ru-RU</dc:language>
  <cp:lastModifiedBy/>
  <cp:lastPrinted>2016-04-11T08:16:00Z</cp:lastPrinted>
  <dcterms:modified xsi:type="dcterms:W3CDTF">2019-06-03T10:33:24Z</dcterms:modified>
  <cp:revision>75</cp:revision>
  <dc:subject/>
  <dc:title>Уважаемые жители Ивантеевского муниципального района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