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b/>
          <w:sz w:val="24"/>
          <w:szCs w:val="24"/>
          <w:lang w:val="en-US"/>
        </w:rPr>
        <w:t>4</w:t>
      </w:r>
    </w:p>
    <w:p>
      <w:pPr>
        <w:pStyle w:val="Normal"/>
        <w:ind w:left="0" w:right="0" w:firstLine="567"/>
        <w:jc w:val="center"/>
        <w:rPr>
          <w:b/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2"/>
        <w:shd w:val="clear" w:fill="FFFFFF"/>
        <w:spacing w:lineRule="auto" w:line="240" w:before="0" w:after="0"/>
        <w:ind w:left="2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>
      <w:pPr>
        <w:pStyle w:val="Normal"/>
        <w:ind w:left="0" w:right="0"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righ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691</w:t>
      </w:r>
      <w:r>
        <w:rPr>
          <w:sz w:val="24"/>
          <w:szCs w:val="24"/>
        </w:rPr>
        <w:t xml:space="preserve">;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- постановление администрации Ивантеевского муниципального района Саратовской области от </w:t>
      </w:r>
      <w:r>
        <w:rPr>
          <w:sz w:val="24"/>
          <w:szCs w:val="24"/>
          <w:lang w:val="en-US"/>
        </w:rPr>
        <w:t>06.11.2018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en-US"/>
        </w:rPr>
        <w:t>692</w:t>
      </w:r>
      <w:r>
        <w:rPr>
          <w:sz w:val="24"/>
          <w:szCs w:val="24"/>
        </w:rPr>
        <w:t xml:space="preserve">;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 декабря</w:t>
      </w:r>
      <w:r>
        <w:rPr>
          <w:b/>
          <w:sz w:val="24"/>
          <w:szCs w:val="24"/>
        </w:rPr>
        <w:t xml:space="preserve"> 2018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>с 15</w:t>
      </w:r>
      <w:r>
        <w:rPr>
          <w:b/>
          <w:bCs/>
          <w:sz w:val="24"/>
          <w:szCs w:val="24"/>
        </w:rPr>
        <w:t xml:space="preserve">.11.2018г, 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 в рабочие дни с 8.00 до 12.00 и с 13.00 до 16.00 часов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9"/>
        <w:ind w:left="0" w:right="0"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14 декабря 2018 года, 16.00 часов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>
      <w:pPr>
        <w:pStyle w:val="Style19"/>
        <w:ind w:left="0" w:right="0" w:firstLine="567"/>
        <w:jc w:val="both"/>
        <w:rPr/>
      </w:pPr>
      <w:r>
        <w:rPr>
          <w:b/>
          <w:sz w:val="24"/>
          <w:szCs w:val="24"/>
          <w:highlight w:val="white"/>
        </w:rPr>
        <w:t>Дата, время, место определения участников аукциона –  17декабря</w:t>
      </w:r>
      <w:r>
        <w:rPr>
          <w:b/>
          <w:sz w:val="24"/>
          <w:szCs w:val="24"/>
        </w:rPr>
        <w:t xml:space="preserve"> 2018 г. в 11.00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left="0" w:right="0" w:firstLine="567"/>
        <w:jc w:val="both"/>
        <w:rPr/>
      </w:pPr>
      <w:r>
        <w:rPr>
          <w:b/>
          <w:sz w:val="24"/>
          <w:szCs w:val="24"/>
        </w:rPr>
        <w:t>Регистрация участников проводится 19 декабря</w:t>
      </w:r>
      <w:r>
        <w:rPr>
          <w:b/>
          <w:bCs/>
          <w:sz w:val="24"/>
          <w:szCs w:val="24"/>
        </w:rPr>
        <w:t xml:space="preserve"> 2018 года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9"/>
        <w:ind w:left="0" w:righ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Границы участков определены кадастровыми выписками из ЕГРН на земельные участки. 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3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>
      <w:pPr>
        <w:pStyle w:val="Style23"/>
        <w:ind w:left="0" w:right="0" w:hanging="0"/>
        <w:rPr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10 лет:</w:t>
      </w:r>
    </w:p>
    <w:tbl>
      <w:tblPr>
        <w:tblW w:w="9707" w:type="dxa"/>
        <w:jc w:val="left"/>
        <w:tblInd w:w="0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24"/>
      </w:tblGrid>
      <w:tr>
        <w:trPr>
          <w:trHeight w:val="67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(3%)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Саратовская область, Ивантеевский район, с. Журавлиха, 900м на восток от подстанции 35/10кВ «Журавлиха» и 400м на юг от железнодорожного переезда,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категория земель: Земли населенных пунктов, разрешенное использование: «Хранение и переработка сельскохозяйственной продукции», Земельный участок обременен водоохраной зоной р.Большой Иргиз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64:14:340101:124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70349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8000,00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(восемь тысяч)рублей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8000,00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(восемь тысяч)рублей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Саратовская область, Ивантеевский район, с. Журавлиха, 700м на восток от подстанции 35/10кВ «Журавлиха» и 570м на юг от железнодорожного переезда,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категория земель: Земли населенных пунктов, разрешенное использование:</w:t>
            </w:r>
          </w:p>
          <w:p>
            <w:pPr>
              <w:pStyle w:val="Normal"/>
              <w:tabs>
                <w:tab w:val="left" w:pos="9356" w:leader="none"/>
              </w:tabs>
              <w:ind w:left="0" w:right="0" w:firstLine="540"/>
              <w:jc w:val="both"/>
              <w:rPr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«Туристическое обслуживание», Земельный участок обременен водоохраной зоной р.Большой Иргиз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64:14:340101:125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26300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51000,00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(пятьдесят одна тысяча) рублей 00копеек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1530,00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25500,00</w:t>
            </w:r>
          </w:p>
          <w:p>
            <w:pPr>
              <w:pStyle w:val="Normal"/>
              <w:jc w:val="center"/>
              <w:rPr/>
            </w:pPr>
            <w:r>
              <w:rPr/>
              <w:t>(двадцать пять тысяч пятьсот) рублей 00 копеек</w:t>
            </w:r>
          </w:p>
        </w:tc>
      </w:tr>
    </w:tbl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строительства:  ЛОТ №1: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rFonts w:cs="Times New Roman"/>
          <w:b w:val="false"/>
          <w:bCs w:val="false"/>
          <w:sz w:val="24"/>
          <w:szCs w:val="24"/>
        </w:rPr>
        <w:t>1) минимальная площадь земельных участков – не устанавливается;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максимальная площадь земельных участков - 5 га;</w:t>
      </w:r>
    </w:p>
    <w:p>
      <w:pPr>
        <w:pStyle w:val="Normal"/>
        <w:suppressAutoHyphens w:val="true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мягкие;</w:t>
      </w:r>
    </w:p>
    <w:p>
      <w:pPr>
        <w:pStyle w:val="Normal"/>
        <w:suppressAutoHyphens w:val="true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ЛОТ № 2 : минимальная площадь земельных участков – не устанавливается;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максимальная площадь земельных участков - 5 га;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максимальное количество этажей зданий – 3;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максимальная высота зданий от уровня земли до верха перекрытия последнего этажа – 12 м; 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максимальный процент застройки участка – 70%;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минимальный процент озеленения участка - 15%;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площадь территорий, предназначенных для хранения транспортных средств – не более 10% от площади земельного участка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минимальный отступы строений от передней границы участка (в случае, если иной показатель не установлен линией регулирования застройки) – 5 м;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требования к ограждению земельных участков: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высота ограждения земельных участков должна быть не более 2 м;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ограждения должны быть «прозрачными» с возможностью просмотра участка; </w:t>
      </w:r>
    </w:p>
    <w:p>
      <w:pPr>
        <w:pStyle w:val="Normal"/>
        <w:numPr>
          <w:ilvl w:val="0"/>
          <w:numId w:val="4"/>
        </w:numPr>
        <w:tabs>
          <w:tab w:val="left" w:pos="-45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Параметры застройки уточняются проектом планировки территории.</w:t>
      </w:r>
    </w:p>
    <w:p>
      <w:pPr>
        <w:pStyle w:val="Normal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 При этом более строгие требования, относящиеся к одному и тому же параметру, поглощают более мягкие.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bookmarkStart w:id="0" w:name="__DdeLink__961_1726626407"/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Техническая возможность электроснабжения данного участка имеется. Возможно подключение от  КТП № 822 ВЛ-1002 ПС 35/10кВ Журавлиха.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firstLine="709"/>
        <w:jc w:val="both"/>
        <w:rPr/>
      </w:pPr>
      <w:r>
        <w:rPr>
          <w:b w:val="false"/>
          <w:bCs w:val="false"/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b w:val="false"/>
          <w:bCs w:val="false"/>
          <w:sz w:val="24"/>
          <w:szCs w:val="24"/>
          <w:lang w:val="ru-RU"/>
        </w:rPr>
        <w:t>отсутствует.</w:t>
      </w:r>
      <w:bookmarkEnd w:id="0"/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Техническая возможность электроснабжения данного участка имеется. Возможно подключение от  КТП № 822 ВЛ-1002 ПС 35/10кВ Журавлиха. Сроки подключения к электрическим сетям (в рамках договора технологического присоединения) – 4 месяца.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46/2 от 19.12.2013г 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71/7 от 27.12.2017г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Техническая возможность подключения (технологического присоединения) к сети газораспределения имеется.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Техническая возможность подключения (технологического присоединения) к сети водоснабжения </w:t>
      </w:r>
      <w:r>
        <w:rPr>
          <w:b w:val="false"/>
          <w:bCs w:val="false"/>
          <w:sz w:val="24"/>
          <w:szCs w:val="24"/>
          <w:lang w:val="ru-RU"/>
        </w:rPr>
        <w:t>отсутствует.</w:t>
      </w:r>
    </w:p>
    <w:p>
      <w:pPr>
        <w:pStyle w:val="Normal"/>
        <w:suppressAutoHyphens w:val="true"/>
        <w:ind w:left="0" w:right="0"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>
      <w:pPr>
        <w:pStyle w:val="Style23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left="0" w:right="0" w:firstLine="567"/>
        <w:rPr/>
      </w:pPr>
      <w:r>
        <w:rPr>
          <w:sz w:val="24"/>
          <w:szCs w:val="24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40302810322025630223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 xml:space="preserve">: Отделение Саратов; </w:t>
      </w:r>
      <w:r>
        <w:rPr>
          <w:b/>
          <w:sz w:val="24"/>
          <w:szCs w:val="24"/>
          <w:u w:val="single"/>
        </w:rPr>
        <w:t xml:space="preserve">получатель: </w:t>
      </w:r>
      <w:r>
        <w:rPr>
          <w:sz w:val="24"/>
          <w:szCs w:val="24"/>
        </w:rPr>
        <w:t xml:space="preserve">Финансовое управление Ивантеевского муниципального района Саратовской области (л\с 007010005);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 xml:space="preserve">6414001666;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платежа:  перечисление задатка для участия в торгах.</w:t>
      </w:r>
    </w:p>
    <w:p>
      <w:pPr>
        <w:pStyle w:val="Style23"/>
        <w:ind w:left="0" w:right="0" w:firstLine="567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 xml:space="preserve"> декабря 2018 г.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2">
        <w:r>
          <w:rPr>
            <w:rStyle w:val="ListLabel20"/>
            <w:rFonts w:cs="Times New Roman"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3">
        <w:r>
          <w:rPr>
            <w:rStyle w:val="ListLabel20"/>
            <w:rFonts w:cs="Times New Roman"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4">
        <w:r>
          <w:rPr>
            <w:rStyle w:val="ListLabel20"/>
            <w:rFonts w:cs="Times New Roman"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left="0" w:right="0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</w:t>
      </w:r>
      <w:r>
        <w:rPr>
          <w:sz w:val="24"/>
          <w:szCs w:val="24"/>
        </w:rPr>
        <w:t xml:space="preserve">. </w:t>
      </w:r>
      <w:bookmarkStart w:id="1" w:name="__DdeLink__7772_1910050886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</w:t>
      </w:r>
      <w:bookmarkEnd w:id="1"/>
      <w:r>
        <w:rPr>
          <w:sz w:val="24"/>
          <w:szCs w:val="24"/>
        </w:rPr>
        <w:t>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left="0" w:right="0"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left="0" w:right="0"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в разделе «Объявления» по адресу: </w:t>
      </w:r>
      <w:hyperlink r:id="rId5">
        <w:r>
          <w:rPr>
            <w:rStyle w:val="Style15"/>
            <w:sz w:val="24"/>
            <w:szCs w:val="24"/>
          </w:rPr>
          <w:t>http://</w:t>
        </w:r>
      </w:hyperlink>
      <w:hyperlink r:id="rId6">
        <w:r>
          <w:rPr>
            <w:rStyle w:val="Style15"/>
            <w:sz w:val="24"/>
            <w:szCs w:val="24"/>
            <w:lang w:val="en-US"/>
          </w:rPr>
          <w:t>new</w:t>
        </w:r>
      </w:hyperlink>
      <w:hyperlink r:id="rId7">
        <w:r>
          <w:rPr>
            <w:rStyle w:val="Style15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/>
          <w:sz w:val="24"/>
          <w:szCs w:val="24"/>
        </w:rPr>
        <w:t xml:space="preserve">Глава Ивантеевского 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/>
          <w:sz w:val="24"/>
          <w:szCs w:val="24"/>
        </w:rPr>
        <w:t xml:space="preserve">муниципального района </w:t>
      </w:r>
    </w:p>
    <w:p>
      <w:pPr>
        <w:pStyle w:val="Normal"/>
        <w:tabs>
          <w:tab w:val="left" w:pos="426" w:leader="none"/>
          <w:tab w:val="left" w:pos="1418" w:leader="none"/>
        </w:tabs>
        <w:ind w:left="0" w:right="0" w:firstLine="567"/>
        <w:jc w:val="both"/>
        <w:rPr/>
      </w:pPr>
      <w:r>
        <w:rPr>
          <w:b/>
          <w:sz w:val="24"/>
          <w:szCs w:val="24"/>
        </w:rPr>
        <w:t>Саратовской области                                                                           В.В. Басов</w:t>
      </w:r>
    </w:p>
    <w:p>
      <w:pPr>
        <w:pStyle w:val="Normal"/>
        <w:jc w:val="right"/>
        <w:rPr/>
      </w:pPr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 НА УЧАСТИЕ В АУКЦИОНЕ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right="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</w:p>
    <w:p>
      <w:pPr>
        <w:pStyle w:val="Normal"/>
        <w:ind w:left="6480" w:right="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/>
      </w:pPr>
      <w:bookmarkStart w:id="2" w:name="OLE_LINK5"/>
      <w:bookmarkStart w:id="3" w:name="OLE_LINK6"/>
      <w:r>
        <w:rPr/>
        <w:t>______________________________________________________________________________________________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организатора аукциона)</w:t>
      </w:r>
      <w:bookmarkEnd w:id="2"/>
      <w:bookmarkEnd w:id="3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……………………………………………………………………………………………………………………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rPr/>
              <w:t>………………………………………………………...……………………………………………………………....</w:t>
            </w:r>
          </w:p>
        </w:tc>
      </w:tr>
    </w:tbl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2"/>
        </w:numPr>
        <w:suppressAutoHyphens w:val="true"/>
        <w:ind w:left="357" w:right="0"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right="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right="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0"/>
      </w:tblGrid>
      <w:tr>
        <w:trPr>
          <w:trHeight w:val="187" w:hRule="atLeast"/>
        </w:trPr>
        <w:tc>
          <w:tcPr>
            <w:tcW w:w="20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96" w:type="dxa"/>
        <w:jc w:val="left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237"/>
        <w:gridCol w:w="209"/>
        <w:gridCol w:w="231"/>
        <w:gridCol w:w="214"/>
        <w:gridCol w:w="227"/>
        <w:gridCol w:w="219"/>
        <w:gridCol w:w="216"/>
        <w:gridCol w:w="230"/>
        <w:gridCol w:w="211"/>
        <w:gridCol w:w="235"/>
        <w:gridCol w:w="206"/>
        <w:gridCol w:w="240"/>
        <w:gridCol w:w="201"/>
        <w:gridCol w:w="245"/>
        <w:gridCol w:w="200"/>
        <w:gridCol w:w="3"/>
        <w:gridCol w:w="244"/>
        <w:gridCol w:w="195"/>
        <w:gridCol w:w="162"/>
        <w:gridCol w:w="89"/>
        <w:gridCol w:w="224"/>
        <w:gridCol w:w="233"/>
        <w:gridCol w:w="64"/>
        <w:gridCol w:w="382"/>
        <w:gridCol w:w="227"/>
        <w:gridCol w:w="219"/>
        <w:gridCol w:w="382"/>
        <w:gridCol w:w="64"/>
        <w:gridCol w:w="446"/>
        <w:gridCol w:w="101"/>
        <w:gridCol w:w="345"/>
        <w:gridCol w:w="261"/>
        <w:gridCol w:w="186"/>
        <w:gridCol w:w="419"/>
        <w:gridCol w:w="77"/>
        <w:gridCol w:w="447"/>
        <w:gridCol w:w="122"/>
        <w:gridCol w:w="326"/>
        <w:gridCol w:w="284"/>
        <w:gridCol w:w="164"/>
        <w:gridCol w:w="506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9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255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tcMar>
              <w:left w:w="-3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24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insideH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7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  <w:insideH w:val="thickThinSmallGap" w:sz="12" w:space="0" w:color="C0C0C0"/>
              <w:insideV w:val="thickThinSmallGap" w:sz="12" w:space="0" w:color="C0C0C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bookmarkStart w:id="4" w:name="_GoBack"/>
      <w:bookmarkEnd w:id="4"/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Приложение №2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ind w:left="0" w:right="0"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_______________________________________________________________________,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left="0" w:right="0"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_______________________________________________________________________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3"/>
        <w:ind w:left="0" w:right="0" w:firstLine="540"/>
        <w:rPr/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3"/>
        <w:ind w:left="0" w:right="0"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3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left="0" w:right="0"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3"/>
        <w:ind w:left="0" w:right="0" w:firstLine="425"/>
        <w:rPr>
          <w:sz w:val="24"/>
          <w:szCs w:val="24"/>
        </w:rPr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3"/>
        <w:ind w:left="0" w:right="0"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29"/>
        <w:jc w:val="both"/>
        <w:rPr/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3"/>
        <w:ind w:left="0" w:right="0"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/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left" w:pos="838" w:leader="none"/>
          <w:tab w:val="left" w:pos="1372" w:leader="none"/>
          <w:tab w:val="left" w:pos="10263" w:leader="none"/>
        </w:tabs>
        <w:ind w:left="28" w:righ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1 - кадастровый паспорт Участка.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– расчет арендной платы.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3 -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  <w:t xml:space="preserve"> </w:t>
      </w:r>
      <w:r>
        <w:rPr/>
        <w:t xml:space="preserve">«_____»_________ № ______ </w:t>
      </w:r>
    </w:p>
    <w:p>
      <w:pPr>
        <w:pStyle w:val="Normal"/>
        <w:widowControl w:val="false"/>
        <w:ind w:left="0" w:right="0" w:firstLine="567"/>
        <w:jc w:val="right"/>
        <w:rPr/>
      </w:pPr>
      <w:r>
        <w:rPr/>
      </w:r>
    </w:p>
    <w:p>
      <w:pPr>
        <w:pStyle w:val="Normal"/>
        <w:widowControl w:val="false"/>
        <w:ind w:left="0"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right="0" w:firstLine="567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left="0" w:right="0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left="0" w:right="0"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left="0"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0" w:right="0"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left="0" w:right="0"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left="0" w:righ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left="0" w:right="-3"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righ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8"/>
        <w:gridCol w:w="5177"/>
      </w:tblGrid>
      <w:tr>
        <w:trPr>
          <w:trHeight w:val="951" w:hRule="atLeast"/>
        </w:trPr>
        <w:tc>
          <w:tcPr>
            <w:tcW w:w="4848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7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left="0"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ewsGothic_A.Z_PS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-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-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−"/>
      <w:lvlJc w:val="left"/>
      <w:pPr>
        <w:ind w:left="45" w:hanging="0"/>
      </w:pPr>
      <w:rPr>
        <w:rFonts w:ascii="Times New Roman" w:hAnsi="Times New Roman" w:cs="Times New Roman" w:hint="default"/>
        <w:sz w:val="24"/>
        <w:i w:val="false"/>
        <w:b/>
        <w:szCs w:val="24"/>
        <w:iCs w:val="false"/>
        <w:bCs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>
    <w:name w:val="Default Paragraph Font"/>
    <w:qFormat/>
    <w:rPr/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1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  <w:lang w:val="en-US"/>
    </w:rPr>
  </w:style>
  <w:style w:type="character" w:styleId="ListLabel23">
    <w:name w:val="ListLabel 23"/>
    <w:qFormat/>
    <w:rPr>
      <w:rFonts w:ascii="Times New Roman" w:hAnsi="Times New Roman"/>
      <w:b/>
      <w:sz w:val="24"/>
    </w:rPr>
  </w:style>
  <w:style w:type="character" w:styleId="ListLabel24">
    <w:name w:val="ListLabel 24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  <w:lang w:val="en-US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sz w:val="24"/>
      <w:szCs w:val="24"/>
    </w:rPr>
  </w:style>
  <w:style w:type="character" w:styleId="ListLabel46">
    <w:name w:val="ListLabel 46"/>
    <w:qFormat/>
    <w:rPr>
      <w:sz w:val="24"/>
      <w:szCs w:val="24"/>
      <w:lang w:val="en-U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47">
    <w:name w:val="ListLabel 47"/>
    <w:qFormat/>
    <w:rPr>
      <w:rFonts w:ascii="Times New Roman" w:hAnsi="Times New Roman"/>
      <w:b/>
      <w:sz w:val="24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  <w:lang w:val="en-US"/>
    </w:rPr>
  </w:style>
  <w:style w:type="character" w:styleId="ListLabel59">
    <w:name w:val="ListLabel 59"/>
    <w:qFormat/>
    <w:rPr>
      <w:rFonts w:ascii="Times New Roman" w:hAnsi="Times New Roman"/>
      <w:b/>
      <w:sz w:val="24"/>
    </w:rPr>
  </w:style>
  <w:style w:type="character" w:styleId="ListLabel60">
    <w:name w:val="ListLabel 60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7">
    <w:name w:val="ListLabel 67"/>
    <w:qFormat/>
    <w:rPr>
      <w:color w:val="000000"/>
    </w:rPr>
  </w:style>
  <w:style w:type="character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styleId="ListLabel69">
    <w:name w:val="ListLabel 69"/>
    <w:qFormat/>
    <w:rPr>
      <w:sz w:val="24"/>
      <w:szCs w:val="24"/>
    </w:rPr>
  </w:style>
  <w:style w:type="character" w:styleId="ListLabel70">
    <w:name w:val="ListLabel 70"/>
    <w:qFormat/>
    <w:rPr>
      <w:sz w:val="24"/>
      <w:szCs w:val="24"/>
      <w:lang w:val="en-US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styleId="ListLabel81">
    <w:name w:val="ListLabel 81"/>
    <w:qFormat/>
    <w:rPr>
      <w:sz w:val="24"/>
      <w:szCs w:val="24"/>
    </w:rPr>
  </w:style>
  <w:style w:type="character" w:styleId="ListLabel82">
    <w:name w:val="ListLabel 82"/>
    <w:qFormat/>
    <w:rPr>
      <w:sz w:val="24"/>
      <w:szCs w:val="24"/>
      <w:lang w:val="en-US"/>
    </w:rPr>
  </w:style>
  <w:style w:type="character" w:styleId="ListLabel83">
    <w:name w:val="ListLabel 83"/>
    <w:qFormat/>
    <w:rPr>
      <w:rFonts w:ascii="Times New Roman" w:hAnsi="Times New Roman"/>
      <w:b/>
      <w:sz w:val="24"/>
    </w:rPr>
  </w:style>
  <w:style w:type="character" w:styleId="ListLabel84">
    <w:name w:val="ListLabel 84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91">
    <w:name w:val="ListLabel 91"/>
    <w:qFormat/>
    <w:rPr>
      <w:color w:val="000000"/>
    </w:rPr>
  </w:style>
  <w:style w:type="character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styleId="ListLabel93">
    <w:name w:val="ListLabel 93"/>
    <w:qFormat/>
    <w:rPr>
      <w:sz w:val="24"/>
      <w:szCs w:val="24"/>
    </w:rPr>
  </w:style>
  <w:style w:type="character" w:styleId="ListLabel94">
    <w:name w:val="ListLabel 94"/>
    <w:qFormat/>
    <w:rPr>
      <w:sz w:val="24"/>
      <w:szCs w:val="24"/>
      <w:lang w:val="en-US"/>
    </w:rPr>
  </w:style>
  <w:style w:type="character" w:styleId="ListLabel95">
    <w:name w:val="ListLabel 95"/>
    <w:qFormat/>
    <w:rPr>
      <w:rFonts w:ascii="Times New Roman" w:hAnsi="Times New Roman"/>
      <w:b/>
      <w:sz w:val="24"/>
    </w:rPr>
  </w:style>
  <w:style w:type="character" w:styleId="ListLabel96">
    <w:name w:val="ListLabel 96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3">
    <w:name w:val="ListLabel 103"/>
    <w:qFormat/>
    <w:rPr>
      <w:color w:val="000000"/>
    </w:rPr>
  </w:style>
  <w:style w:type="character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  <w:lang w:val="en-US"/>
    </w:rPr>
  </w:style>
  <w:style w:type="character" w:styleId="ListLabel107">
    <w:name w:val="ListLabel 107"/>
    <w:qFormat/>
    <w:rPr>
      <w:rFonts w:ascii="Times New Roman" w:hAnsi="Times New Roman"/>
      <w:b/>
      <w:sz w:val="24"/>
    </w:rPr>
  </w:style>
  <w:style w:type="character" w:styleId="ListLabel108">
    <w:name w:val="ListLabel 108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5">
    <w:name w:val="ListLabel 115"/>
    <w:qFormat/>
    <w:rPr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styleId="ListLabel117">
    <w:name w:val="ListLabel 117"/>
    <w:qFormat/>
    <w:rPr>
      <w:sz w:val="24"/>
      <w:szCs w:val="24"/>
    </w:rPr>
  </w:style>
  <w:style w:type="character" w:styleId="ListLabel118">
    <w:name w:val="ListLabel 118"/>
    <w:qFormat/>
    <w:rPr>
      <w:sz w:val="24"/>
      <w:szCs w:val="24"/>
      <w:lang w:val="en-U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ListLabel119">
    <w:name w:val="ListLabel 119"/>
    <w:qFormat/>
    <w:rPr>
      <w:rFonts w:ascii="Times New Roman" w:hAnsi="Times New Roman"/>
      <w:b/>
      <w:sz w:val="24"/>
    </w:rPr>
  </w:style>
  <w:style w:type="character" w:styleId="ListLabel120">
    <w:name w:val="ListLabel 120"/>
    <w:qFormat/>
    <w:rPr>
      <w:color w:val="000000"/>
    </w:rPr>
  </w:style>
  <w:style w:type="character" w:styleId="ListLabel121">
    <w:name w:val="ListLabel 121"/>
    <w:qFormat/>
    <w:rPr>
      <w:color w:val="000000"/>
    </w:rPr>
  </w:style>
  <w:style w:type="character" w:styleId="ListLabel122">
    <w:name w:val="ListLabel 122"/>
    <w:qFormat/>
    <w:rPr>
      <w:color w:val="000000"/>
    </w:rPr>
  </w:style>
  <w:style w:type="character" w:styleId="ListLabel123">
    <w:name w:val="ListLabel 123"/>
    <w:qFormat/>
    <w:rPr>
      <w:color w:val="000000"/>
    </w:rPr>
  </w:style>
  <w:style w:type="character" w:styleId="ListLabel124">
    <w:name w:val="ListLabel 124"/>
    <w:qFormat/>
    <w:rPr>
      <w:color w:val="000000"/>
    </w:rPr>
  </w:style>
  <w:style w:type="character" w:styleId="ListLabel125">
    <w:name w:val="ListLabel 125"/>
    <w:qFormat/>
    <w:rPr>
      <w:color w:val="000000"/>
    </w:rPr>
  </w:style>
  <w:style w:type="character" w:styleId="ListLabel126">
    <w:name w:val="ListLabel 126"/>
    <w:qFormat/>
    <w:rPr>
      <w:color w:val="000000"/>
    </w:rPr>
  </w:style>
  <w:style w:type="character" w:styleId="ListLabel127">
    <w:name w:val="ListLabel 127"/>
    <w:qFormat/>
    <w:rPr>
      <w:color w:val="000000"/>
    </w:rPr>
  </w:style>
  <w:style w:type="character" w:styleId="ListLabel128">
    <w:name w:val="ListLabel 128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sz w:val="24"/>
      <w:szCs w:val="24"/>
    </w:rPr>
  </w:style>
  <w:style w:type="character" w:styleId="ListLabel139">
    <w:name w:val="ListLabel 139"/>
    <w:qFormat/>
    <w:rPr>
      <w:sz w:val="24"/>
      <w:szCs w:val="24"/>
      <w:lang w:val="en-US"/>
    </w:rPr>
  </w:style>
  <w:style w:type="character" w:styleId="ListLabel140">
    <w:name w:val="ListLabel 140"/>
    <w:qFormat/>
    <w:rPr>
      <w:rFonts w:ascii="Times New Roman" w:hAnsi="Times New Roman"/>
      <w:b/>
      <w:sz w:val="24"/>
    </w:rPr>
  </w:style>
  <w:style w:type="character" w:styleId="ListLabel141">
    <w:name w:val="ListLabel 141"/>
    <w:qFormat/>
    <w:rPr>
      <w:color w:val="000000"/>
    </w:rPr>
  </w:style>
  <w:style w:type="character" w:styleId="ListLabel142">
    <w:name w:val="ListLabel 142"/>
    <w:qFormat/>
    <w:rPr>
      <w:color w:val="000000"/>
    </w:rPr>
  </w:style>
  <w:style w:type="character" w:styleId="ListLabel143">
    <w:name w:val="ListLabel 143"/>
    <w:qFormat/>
    <w:rPr>
      <w:color w:val="000000"/>
    </w:rPr>
  </w:style>
  <w:style w:type="character" w:styleId="ListLabel144">
    <w:name w:val="ListLabel 144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9">
    <w:name w:val="ListLabel 149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ascii="Times New Roman" w:hAnsi="Times New Roman" w:cs="Times New Roman"/>
      <w:sz w:val="24"/>
      <w:szCs w:val="24"/>
    </w:rPr>
  </w:style>
  <w:style w:type="character" w:styleId="ListLabel159">
    <w:name w:val="ListLabel 159"/>
    <w:qFormat/>
    <w:rPr>
      <w:sz w:val="24"/>
      <w:szCs w:val="24"/>
    </w:rPr>
  </w:style>
  <w:style w:type="character" w:styleId="ListLabel160">
    <w:name w:val="ListLabel 160"/>
    <w:qFormat/>
    <w:rPr>
      <w:sz w:val="24"/>
      <w:szCs w:val="24"/>
      <w:lang w:val="en-US"/>
    </w:rPr>
  </w:style>
  <w:style w:type="character" w:styleId="ListLabel161">
    <w:name w:val="ListLabel 161"/>
    <w:qFormat/>
    <w:rPr>
      <w:rFonts w:ascii="Times New Roman" w:hAnsi="Times New Roman"/>
      <w:b/>
      <w:sz w:val="24"/>
    </w:rPr>
  </w:style>
  <w:style w:type="character" w:styleId="ListLabel162">
    <w:name w:val="ListLabel 162"/>
    <w:qFormat/>
    <w:rPr>
      <w:color w:val="000000"/>
    </w:rPr>
  </w:style>
  <w:style w:type="character" w:styleId="ListLabel163">
    <w:name w:val="ListLabel 163"/>
    <w:qFormat/>
    <w:rPr>
      <w:color w:val="000000"/>
    </w:rPr>
  </w:style>
  <w:style w:type="character" w:styleId="ListLabel164">
    <w:name w:val="ListLabel 164"/>
    <w:qFormat/>
    <w:rPr>
      <w:color w:val="000000"/>
    </w:rPr>
  </w:style>
  <w:style w:type="character" w:styleId="ListLabel165">
    <w:name w:val="ListLabel 165"/>
    <w:qFormat/>
    <w:rPr>
      <w:color w:val="000000"/>
    </w:rPr>
  </w:style>
  <w:style w:type="character" w:styleId="ListLabel166">
    <w:name w:val="ListLabel 166"/>
    <w:qFormat/>
    <w:rPr>
      <w:color w:val="000000"/>
    </w:rPr>
  </w:style>
  <w:style w:type="character" w:styleId="ListLabel167">
    <w:name w:val="ListLabel 167"/>
    <w:qFormat/>
    <w:rPr>
      <w:color w:val="000000"/>
    </w:rPr>
  </w:style>
  <w:style w:type="character" w:styleId="ListLabel168">
    <w:name w:val="ListLabel 168"/>
    <w:qFormat/>
    <w:rPr>
      <w:color w:val="000000"/>
    </w:rPr>
  </w:style>
  <w:style w:type="character" w:styleId="ListLabel169">
    <w:name w:val="ListLabel 169"/>
    <w:qFormat/>
    <w:rPr>
      <w:color w:val="000000"/>
    </w:rPr>
  </w:style>
  <w:style w:type="character" w:styleId="ListLabel170">
    <w:name w:val="ListLabel 170"/>
    <w:qFormat/>
    <w:rPr>
      <w:rFonts w:ascii="Times New Roman" w:hAnsi="Times New Roman" w:cs="Times New Roman"/>
      <w:b/>
      <w:bCs/>
      <w:i w:val="false"/>
      <w:iCs w:val="false"/>
      <w:sz w:val="24"/>
      <w:szCs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imes New Roman" w:hAnsi="Times New Roman" w:cs="Times New Roman"/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jc w:val="center"/>
    </w:pPr>
    <w:rPr>
      <w:sz w:val="22"/>
      <w:szCs w:val="22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4">
    <w:name w:val="готик текст"/>
    <w:qFormat/>
    <w:pPr>
      <w:widowControl/>
      <w:tabs>
        <w:tab w:val="right" w:pos="4762" w:leader="dot"/>
      </w:tabs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paragraph" w:styleId="13">
    <w:name w:val="Без интервала1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>
    <w:name w:val="Основной текст (2)"/>
    <w:basedOn w:val="Normal"/>
    <w:qFormat/>
    <w:pPr>
      <w:widowControl w:val="false"/>
      <w:shd w:val="clear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Style25">
    <w:name w:val="Обычный (веб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7F625AD85D2B345EC666D9FC4CF5D3AAEE994FB927D112B3F4619F8B85FFA58CBB4AD7246sCCFO" TargetMode="External"/><Relationship Id="rId3" Type="http://schemas.openxmlformats.org/officeDocument/2006/relationships/hyperlink" Target="consultantplus://offline/ref=B7F625AD85D2B345EC666D9FC4CF5D3AAEE994FB927D112B3F4619F8B85FFA58CBB4AD7247sCC6O" TargetMode="External"/><Relationship Id="rId4" Type="http://schemas.openxmlformats.org/officeDocument/2006/relationships/hyperlink" Target="consultantplus://offline/ref=B7F625AD85D2B345EC666D9FC4CF5D3AAEE994FB927D112B3F4619F8B85FFA58CBB4AD734EsCC4O" TargetMode="External"/><Relationship Id="rId5" Type="http://schemas.openxmlformats.org/officeDocument/2006/relationships/hyperlink" Target="http://new.ivanteevka.sarmo.ru/" TargetMode="External"/><Relationship Id="rId6" Type="http://schemas.openxmlformats.org/officeDocument/2006/relationships/hyperlink" Target="http://new.ivanteevka.sarmo.ru/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Application>LibreOffice/6.0.2.1$Windows_x86 LibreOffice_project/f7f06a8f319e4b62f9bc5095aa112a65d2f3ac89</Application>
  <Pages>13</Pages>
  <Words>4240</Words>
  <Characters>32743</Characters>
  <CharactersWithSpaces>37304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2018-11-13T14:37:07Z</cp:lastPrinted>
  <dcterms:modified xsi:type="dcterms:W3CDTF">2018-11-13T15:11:10Z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