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22.10.2020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</w:t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6"/>
        <w:gridCol w:w="1070"/>
        <w:gridCol w:w="1443"/>
        <w:gridCol w:w="1018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110м на северо-восток от дома №1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rFonts w:ascii="Times New Roman" w:hAnsi="Times New Roman"/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140м на северо-восток от дома №1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rFonts w:ascii="Times New Roman" w:hAnsi="Times New Roman"/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170м на северо-восток от дома №1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1695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51 000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пятьдесят одна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1530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25 500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двадцать пять тысяч пятьсот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60м на северо-восток от дома №1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обременен водоохранной зоной водного объекта р. Большой Иргиз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:133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rFonts w:ascii="Times New Roman" w:hAnsi="Times New Roman"/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80м на северо-восток от дома №1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rFonts w:ascii="Times New Roman" w:hAnsi="Times New Roman"/>
                <w:sz w:val="18"/>
                <w:szCs w:val="18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rFonts w:ascii="Times New Roman" w:hAnsi="Times New Roman"/>
                <w:sz w:val="18"/>
                <w:szCs w:val="18"/>
              </w:rPr>
              <w:t>,00 (тридцать тысяч)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16.10</w:t>
      </w:r>
      <w:r>
        <w:rPr>
          <w:rFonts w:ascii="Times New Roman" w:hAnsi="Times New Roman"/>
          <w:sz w:val="26"/>
          <w:szCs w:val="26"/>
        </w:rPr>
        <w:t>.20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bookmarkStart w:id="0" w:name="__DdeLink__2946_2381785028"/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  <w:bookmarkEnd w:id="0"/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90" w:right="41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0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12" w:customStyle="1">
    <w:name w:val="Основной текст с отступом Знак1"/>
    <w:basedOn w:val="DefaultParagraphFont"/>
    <w:link w:val="af3"/>
    <w:qFormat/>
    <w:rsid w:val="00d0109b"/>
    <w:rPr>
      <w:rFonts w:ascii="Times New Roman" w:hAnsi="Times New Roman" w:eastAsia="Times New Roman" w:cs="Times New Roman"/>
      <w:color w:val="00000A"/>
      <w:sz w:val="22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eastAsia="ar-SA" w:val="ru-RU" w:bidi="ar-SA"/>
    </w:rPr>
  </w:style>
  <w:style w:type="paragraph" w:styleId="13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Style26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val="ru-RU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ascii="Calibri" w:hAnsi="Calibri"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eastAsia="ar-SA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eastAsia="ar-SA" w:val="ru-RU" w:bidi="ar-SA"/>
    </w:rPr>
  </w:style>
  <w:style w:type="paragraph" w:styleId="Style27">
    <w:name w:val="Body Text Indent"/>
    <w:basedOn w:val="Normal"/>
    <w:link w:val="13"/>
    <w:rsid w:val="00d0109b"/>
    <w:pPr>
      <w:spacing w:lineRule="auto" w:line="240" w:before="0" w:after="0"/>
      <w:ind w:firstLine="708"/>
      <w:jc w:val="both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LibreOffice/6.3.4.2$Windows_x86 LibreOffice_project/60da17e045e08f1793c57c00ba83cdfce946d0aa</Application>
  <Pages>2</Pages>
  <Words>405</Words>
  <Characters>2765</Characters>
  <CharactersWithSpaces>3229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2019-04-18T05:36:00Z</dcterms:created>
  <dc:creator>456</dc:creator>
  <dc:description/>
  <dc:language>ru-RU</dc:language>
  <cp:lastModifiedBy/>
  <cp:lastPrinted>2019-02-25T08:33:00Z</cp:lastPrinted>
  <dcterms:modified xsi:type="dcterms:W3CDTF">2020-10-20T15:50:22Z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