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10.emf" ContentType="image/x-emf"/>
  <Override PartName="/word/media/image3.jpeg" ContentType="image/jpeg"/>
  <Override PartName="/word/media/image6.jpeg" ContentType="image/jpeg"/>
  <Override PartName="/word/media/image4.png" ContentType="image/png"/>
  <Override PartName="/word/media/image7.png" ContentType="image/png"/>
  <Override PartName="/word/media/image5.jpeg" ContentType="image/jpeg"/>
  <Override PartName="/word/media/image8.jpeg" ContentType="image/jpeg"/>
  <Override PartName="/word/media/image9.png" ContentType="image/png"/>
  <Override PartName="/word/media/image16.jpeg" ContentType="image/jpeg"/>
  <Override PartName="/word/media/image11.emf" ContentType="image/x-emf"/>
  <Override PartName="/word/media/image12.emf" ContentType="image/x-emf"/>
  <Override PartName="/word/media/image13.emf" ContentType="image/x-emf"/>
  <Override PartName="/word/media/image14.emf" ContentType="image/x-emf"/>
  <Override PartName="/word/media/image15.emf" ContentType="image/x-emf"/>
  <Override PartName="/word/media/image17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_____Microsoft_Office_Excel1.xlsx" ContentType="application/vnd.openxmlformats-officedocument.spreadsheetml.shee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_____Microsoft_Office_Excel3.xlsx" ContentType="application/vnd.openxmlformats-officedocument.spreadsheetml.shee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_____Microsoft_Office_Excel2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mc:AlternateContent>
          <mc:Choice Requires="wps">
            <w:drawing>
              <wp:anchor behindDoc="0" distT="0" distB="0" distL="114300" distR="97155" simplePos="0" locked="0" layoutInCell="1" allowOverlap="1" relativeHeight="5">
                <wp:simplePos x="0" y="0"/>
                <wp:positionH relativeFrom="column">
                  <wp:posOffset>-562610</wp:posOffset>
                </wp:positionH>
                <wp:positionV relativeFrom="paragraph">
                  <wp:posOffset>-48260</wp:posOffset>
                </wp:positionV>
                <wp:extent cx="7075805" cy="1882775"/>
                <wp:effectExtent l="0" t="0" r="17145" b="17145"/>
                <wp:wrapNone/>
                <wp:docPr id="1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080" cy="1882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c2d69b"/>
                          </a:solidFill>
                          <a:round/>
                        </a:ln>
                        <a:effectLst>
                          <a:outerShdw dir="2700000" dist="24130">
                            <a:srgbClr val="4e6128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fillcolor="#d6e3bc" stroked="t" style="position:absolute;margin-left:-44.3pt;margin-top:-3.8pt;width:557.05pt;height:148.15pt">
                <w10:wrap type="square"/>
                <v:fill o:detectmouseclick="t" color2="white"/>
                <v:stroke color="#c2d69b" weight="12600" joinstyle="round" endcap="flat"/>
                <v:shadow on="t" obscured="f" color="#4e6128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mc:AlternateContent>
          <mc:Choice Requires="wps">
            <w:drawing>
              <wp:anchor behindDoc="0" distT="0" distB="0" distL="114300" distR="97155" simplePos="0" locked="0" layoutInCell="1" allowOverlap="1" relativeHeight="6">
                <wp:simplePos x="0" y="0"/>
                <wp:positionH relativeFrom="column">
                  <wp:posOffset>-86360</wp:posOffset>
                </wp:positionH>
                <wp:positionV relativeFrom="paragraph">
                  <wp:posOffset>-294640</wp:posOffset>
                </wp:positionV>
                <wp:extent cx="6382385" cy="1543685"/>
                <wp:effectExtent l="0" t="0" r="17145" b="17145"/>
                <wp:wrapNone/>
                <wp:docPr id="3" name="Изображение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20" cy="15429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c2d69b"/>
                          </a:solidFill>
                          <a:round/>
                        </a:ln>
                        <a:effectLst>
                          <a:outerShdw dir="2700000" dist="24130">
                            <a:srgbClr val="4e6128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к решению Совета Николаевского муниципального образования №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>31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54FA1"/>
                                <w:sz w:val="32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>декабря 2022 года «О бюджете Николаевского муниципального образования на 2023 год и на плановый период 2024-2025 годов»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fillcolor="#d6e3bc" stroked="t" style="position:absolute;margin-left:-6.8pt;margin-top:-23.2pt;width:502.45pt;height:121.45pt">
                <w10:wrap type="square"/>
                <v:fill o:detectmouseclick="t" color2="white"/>
                <v:stroke color="#c2d69b" weight="12600" joinstyle="round" endcap="flat"/>
                <v:shadow on="t" obscured="f" color="#4e6128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 xml:space="preserve">к решению Совета Николаевского муниципального образования № 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>31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 xml:space="preserve"> от </w:t>
                      </w:r>
                      <w:r>
                        <w:rPr>
                          <w:rFonts w:ascii="Times New Roman" w:hAnsi="Times New Roman"/>
                          <w:b/>
                          <w:color w:val="454FA1"/>
                          <w:sz w:val="32"/>
                          <w:szCs w:val="32"/>
                        </w:rPr>
                        <w:t>23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>декабря 2022 года «О бюджете Николаевского муниципального образования на 2023 год и на плановый период 2024-2025 годов»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/>
        <mc:AlternateContent>
          <mc:Choice Requires="wps">
            <w:drawing>
              <wp:inline distT="0" distB="0" distL="0" distR="0">
                <wp:extent cx="4554220" cy="3887470"/>
                <wp:effectExtent l="0" t="0" r="0" b="0"/>
                <wp:docPr id="5" name="Picture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553640" cy="388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76200" dir="78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8" stroked="f" style="position:absolute;margin-left:0pt;margin-top:0pt;width:358.5pt;height:306pt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Николаевского муниципального образования.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граждан».«Бюджет для граждан» предназначен, прежде всего,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Николаевского муниципального образования.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Бюджетный процесс - ежегодное формирование и исполнение бюджета</w:t>
      </w:r>
    </w:p>
    <w:p>
      <w:pPr>
        <w:pStyle w:val="Normal"/>
        <w:spacing w:lineRule="auto" w:line="240"/>
        <w:ind w:left="-142" w:firstLine="284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210300" cy="3152775"/>
            <wp:effectExtent l="0" t="0" r="0" b="0"/>
            <wp:docPr id="6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>
      <w:pPr>
        <w:pStyle w:val="Normal"/>
        <w:spacing w:lineRule="auto" w:line="240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6021070" cy="3573145"/>
                <wp:effectExtent l="0" t="0" r="0" b="0"/>
                <wp:docPr id="7" name="Picture 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0" descr=""/>
                        <pic:cNvPicPr/>
                      </pic:nvPicPr>
                      <pic:blipFill>
                        <a:blip r:embed="rId4"/>
                        <a:srcRect l="0" t="0" r="0" b="11816"/>
                        <a:stretch/>
                      </pic:blipFill>
                      <pic:spPr>
                        <a:xfrm>
                          <a:off x="0" y="0"/>
                          <a:ext cx="6020280" cy="3572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76200" dir="78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0" stroked="f" style="position:absolute;margin-left:0pt;margin-top:0pt;width:474pt;height:281.25pt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Бюджет Николаевского муниципального образования  </w:t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9781" w:type="dxa"/>
        <w:jc w:val="left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3827"/>
        <w:gridCol w:w="1226"/>
        <w:gridCol w:w="1184"/>
        <w:gridCol w:w="1276"/>
        <w:gridCol w:w="1134"/>
        <w:gridCol w:w="1133"/>
      </w:tblGrid>
      <w:tr>
        <w:trPr>
          <w:trHeight w:val="324" w:hRule="atLeast"/>
        </w:trPr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1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2022 год</w:t>
            </w:r>
          </w:p>
        </w:tc>
        <w:tc>
          <w:tcPr>
            <w:tcW w:w="35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456" w:hRule="atLeast"/>
        </w:trPr>
        <w:tc>
          <w:tcPr>
            <w:tcW w:w="382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2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2024год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2025год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2336,1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4372,2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3527,2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1881,3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1948,4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1968,5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1736,5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1607,5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1726,2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1787,3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367,6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2635,7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1919,7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155,1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161,1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2020,9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5044,2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3527,2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1881,3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1948,4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1662,0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1885,1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1216,3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1110,9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1105,8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125,2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2160,2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2081,1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497,4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515,4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879,6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(-)Дефицит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или профицит(+)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315,2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-672,0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color w:val="404040"/>
          <w:spacing w:val="-8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 xml:space="preserve">е </w:t>
      </w:r>
      <w:r>
        <w:rPr>
          <w:rFonts w:ascii="Times New Roman" w:hAnsi="Times New Roman"/>
          <w:b/>
          <w:bCs/>
          <w:color w:val="404040"/>
          <w:spacing w:val="-4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и б</w:t>
      </w:r>
      <w:r>
        <w:rPr>
          <w:rFonts w:ascii="Times New Roman" w:hAnsi="Times New Roman"/>
          <w:b/>
          <w:bCs/>
          <w:color w:val="404040"/>
          <w:spacing w:val="-22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sz w:val="32"/>
          <w:szCs w:val="32"/>
        </w:rPr>
        <w:t>та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sz w:val="32"/>
          <w:szCs w:val="32"/>
        </w:rPr>
      </w:r>
    </w:p>
    <w:tbl>
      <w:tblPr>
        <w:tblStyle w:val="a6"/>
        <w:tblW w:w="9603" w:type="dxa"/>
        <w:jc w:val="left"/>
        <w:tblInd w:w="392" w:type="dxa"/>
        <w:tblCellMar>
          <w:top w:w="0" w:type="dxa"/>
          <w:left w:w="83" w:type="dxa"/>
          <w:bottom w:w="0" w:type="dxa"/>
          <w:right w:w="108" w:type="dxa"/>
        </w:tblCellMar>
        <w:tblLook w:val="04a0"/>
      </w:tblPr>
      <w:tblGrid>
        <w:gridCol w:w="2953"/>
        <w:gridCol w:w="3330"/>
        <w:gridCol w:w="3320"/>
      </w:tblGrid>
      <w:tr>
        <w:trPr/>
        <w:tc>
          <w:tcPr>
            <w:tcW w:w="9603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eastAsia="Calibri"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2953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8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3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83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83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2953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доходы физических лиц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акцизы по нефтепродуктам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единый сельскохозяйственный налог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имущество физических лиц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земельный налог</w:t>
            </w:r>
          </w:p>
        </w:tc>
        <w:tc>
          <w:tcPr>
            <w:tcW w:w="333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использования муниципального имущества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штрафы за нарушение законодательства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дотации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субсидии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субвенции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tbl>
      <w:tblPr>
        <w:tblStyle w:val="a6"/>
        <w:tblpPr w:bottomFromText="0" w:horzAnchor="margin" w:leftFromText="180" w:rightFromText="180" w:tblpX="392" w:tblpY="1" w:topFromText="0" w:vertAnchor="text"/>
        <w:tblW w:w="9606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9606"/>
      </w:tblGrid>
      <w:tr>
        <w:trPr/>
        <w:tc>
          <w:tcPr>
            <w:tcW w:w="9606" w:type="dxa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32"/>
                <w:szCs w:val="32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tbl>
      <w:tblPr>
        <w:tblStyle w:val="1-4"/>
        <w:tblpPr w:bottomFromText="0" w:horzAnchor="margin" w:leftFromText="180" w:rightFromText="180" w:tblpX="392" w:tblpY="2971" w:topFromText="0" w:vertAnchor="page"/>
        <w:tblW w:w="9606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2943"/>
        <w:gridCol w:w="3119"/>
        <w:gridCol w:w="3544"/>
      </w:tblGrid>
      <w:tr>
        <w:trPr>
          <w:cnfStyle w:val="100000000000"/>
        </w:trPr>
        <w:tc>
          <w:tcPr>
            <w:tcW w:w="2943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3119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ascii="Times New Roman" w:hAnsi="Times New Roman" w:cstheme="minorBidi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3544" w:type="dxa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ascii="Times New Roman" w:hAnsi="Times New Roman" w:cstheme="minorBidi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ascii="Times New Roman" w:hAnsi="Times New Roman" w:cstheme="minorBidi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лат.«Dotatio» –дар, пожертвование)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ascii="Times New Roman" w:hAnsi="Times New Roman" w:cstheme="minorBidi" w:eastAsiaTheme="minorEastAsia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ascii="Times New Roman" w:hAnsi="Times New Roman" w:cstheme="minorBidi" w:eastAsiaTheme="minorEastAsia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2259" w:hRule="atLeast"/>
          <w:cnfStyle w:val="00000001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98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ascii="Times New Roman" w:hAnsi="Times New Roman" w:cstheme="minorBidi" w:eastAsiaTheme="minorEastAsia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финансирование«переданных» другим публично-правовым образованиям полномочий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ascii="Times New Roman" w:hAnsi="Times New Roman" w:cstheme="minorBidi" w:eastAsiaTheme="minorEastAsia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продукты(по списку)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ascii="Times New Roman" w:hAnsi="Times New Roman" w:cstheme="minorBidi" w:eastAsiaTheme="minorEastAsia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ascii="Times New Roman" w:hAnsi="Times New Roman" w:cstheme="minorBidi" w:eastAsiaTheme="minorEastAsia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5981700" cy="2291715"/>
            <wp:effectExtent l="0" t="0" r="0" b="0"/>
            <wp:docPr id="8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878" t="30207" r="29105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0" distR="0">
            <wp:extent cx="6200775" cy="4591050"/>
            <wp:effectExtent l="0" t="0" r="0" b="0"/>
            <wp:docPr id="9" name="Изображение2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 в 2023 году</w:t>
      </w:r>
    </w:p>
    <w:tbl>
      <w:tblPr>
        <w:tblW w:w="963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38"/>
        <w:gridCol w:w="3192"/>
        <w:gridCol w:w="3509"/>
      </w:tblGrid>
      <w:tr>
        <w:trPr/>
        <w:tc>
          <w:tcPr>
            <w:tcW w:w="2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2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935" cy="824230"/>
                      <wp:effectExtent l="0" t="0" r="17145" b="17145"/>
                      <wp:wrapNone/>
                      <wp:docPr id="10" name="Изображение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240" cy="82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050"/>
                              </a:solidFill>
                              <a:ln w="12600">
                                <a:solidFill>
                                  <a:srgbClr val="4f81bd"/>
                                </a:solidFill>
                                <a:round/>
                              </a:ln>
                              <a:effectLst>
                                <a:outerShdw dir="2700000" dist="24130">
                                  <a:srgbClr val="243f60"/>
                                </a:outerShdw>
                              </a:effectLst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3" fillcolor="#ff5050" stroked="t" style="position:absolute;margin-left:42.45pt;margin-top:0.1pt;width:68.95pt;height:64.8pt">
                      <w10:wrap type="none"/>
                      <v:fill o:detectmouseclick="t" type="solid" color2="#00afaf"/>
                      <v:stroke color="#4f81bd" weight="12600" joinstyle="round" endcap="flat"/>
                      <v:shadow on="t" obscured="f" color="#243f60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3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10260" cy="824865"/>
                      <wp:effectExtent l="0" t="0" r="17145" b="17145"/>
                      <wp:wrapNone/>
                      <wp:docPr id="12" name="Изображение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40" cy="82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ccff"/>
                              </a:solidFill>
                              <a:ln w="12600">
                                <a:solidFill>
                                  <a:srgbClr val="4f81bd"/>
                                </a:solidFill>
                                <a:round/>
                              </a:ln>
                              <a:effectLst>
                                <a:outerShdw dir="2700000" dist="24130">
                                  <a:srgbClr val="243f60"/>
                                </a:outerShdw>
                              </a:effectLst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4" fillcolor="#66ccff" stroked="t" style="position:absolute;margin-left:369.45pt;margin-top:0.2pt;width:63.7pt;height:64.85pt">
                      <w10:wrap type="none"/>
                      <v:fill o:detectmouseclick="t" type="solid" color2="#993300"/>
                      <v:stroke color="#4f81bd" weight="12600" joinstyle="round" endcap="flat"/>
                      <v:shadow on="t" obscured="f" color="#243f60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4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9310" cy="824230"/>
                      <wp:effectExtent l="0" t="0" r="17145" b="17145"/>
                      <wp:wrapNone/>
                      <wp:docPr id="14" name="Изображение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720" cy="82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33"/>
                              </a:solidFill>
                              <a:ln w="12600">
                                <a:solidFill>
                                  <a:srgbClr val="4f81bd"/>
                                </a:solidFill>
                                <a:round/>
                              </a:ln>
                              <a:effectLst>
                                <a:outerShdw dir="2700000" dist="24130">
                                  <a:srgbClr val="243f60"/>
                                </a:outerShdw>
                              </a:effectLst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5" fillcolor="#99ff33" stroked="t" style="position:absolute;margin-left:196.85pt;margin-top:0.2pt;width:65.2pt;height:64.8pt">
                      <w10:wrap type="none"/>
                      <v:fill o:detectmouseclick="t" type="solid" color2="#6600cc"/>
                      <v:stroke color="#4f81bd" weight="12600" joinstyle="round" endcap="flat"/>
                      <v:shadow on="t" obscured="f" color="#243f60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419" w:hRule="atLeast"/>
        </w:trPr>
        <w:tc>
          <w:tcPr>
            <w:tcW w:w="9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enter" w:pos="4711" w:leader="none"/>
                <w:tab w:val="left" w:pos="6810" w:leader="none"/>
              </w:tabs>
              <w:spacing w:before="0" w:after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Местный бюджет</w:t>
              <w:tab/>
            </w:r>
          </w:p>
          <w:p>
            <w:pPr>
              <w:pStyle w:val="Normal"/>
              <w:widowControl w:val="false"/>
              <w:tabs>
                <w:tab w:val="center" w:pos="4711" w:leader="none"/>
                <w:tab w:val="left" w:pos="6810" w:leader="none"/>
              </w:tabs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276475" cy="1628775"/>
                  <wp:effectExtent l="0" t="0" r="0" b="0"/>
                  <wp:docPr id="16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tabs>
                <w:tab w:val="center" w:pos="4711" w:leader="none"/>
                <w:tab w:val="left" w:pos="6810" w:leader="none"/>
              </w:tabs>
              <w:spacing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Структура доходов бюджета Николаевского муниципального образования</w:t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10065" w:type="dxa"/>
        <w:jc w:val="left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val="0000"/>
      </w:tblPr>
      <w:tblGrid>
        <w:gridCol w:w="4253"/>
        <w:gridCol w:w="1227"/>
        <w:gridCol w:w="1184"/>
        <w:gridCol w:w="1134"/>
        <w:gridCol w:w="1134"/>
        <w:gridCol w:w="1132"/>
      </w:tblGrid>
      <w:tr>
        <w:trPr>
          <w:trHeight w:val="322" w:hRule="atLeast"/>
        </w:trPr>
        <w:tc>
          <w:tcPr>
            <w:tcW w:w="42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1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2022 год</w:t>
            </w:r>
          </w:p>
        </w:tc>
        <w:tc>
          <w:tcPr>
            <w:tcW w:w="340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322" w:hRule="atLeast"/>
        </w:trPr>
        <w:tc>
          <w:tcPr>
            <w:tcW w:w="425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2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2023год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2024год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2025год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1964,7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1733,0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1603,3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1722,0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1783,1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111,6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124,3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125,6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470,1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497,4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515,4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932,8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168,3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176,1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97,0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844,9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850,0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867,0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844,0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869,0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4,2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 имущества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367,6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2635,7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1919,7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155,1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161,1</w:t>
            </w:r>
          </w:p>
        </w:tc>
      </w:tr>
      <w:tr>
        <w:trPr>
          <w:trHeight w:val="322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дотации 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192,9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34,1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35,9</w:t>
            </w:r>
          </w:p>
        </w:tc>
      </w:tr>
      <w:tr>
        <w:trPr>
          <w:trHeight w:val="322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1698,0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1611,0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121,0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125,2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2336,1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4372,2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3527,2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1881,3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1948,4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057900" cy="3086100"/>
            <wp:effectExtent l="0" t="0" r="0" b="0"/>
            <wp:docPr id="17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Николаевского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численность населения Николаевского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01.01.2022г. 537 человек)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63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4252"/>
        <w:gridCol w:w="1275"/>
        <w:gridCol w:w="1134"/>
        <w:gridCol w:w="994"/>
        <w:gridCol w:w="992"/>
        <w:gridCol w:w="991"/>
      </w:tblGrid>
      <w:tr>
        <w:trPr>
          <w:trHeight w:val="441" w:hRule="atLeast"/>
        </w:trPr>
        <w:tc>
          <w:tcPr>
            <w:tcW w:w="42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2022 год</w:t>
            </w:r>
          </w:p>
        </w:tc>
        <w:tc>
          <w:tcPr>
            <w:tcW w:w="29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687" w:hRule="atLeast"/>
        </w:trPr>
        <w:tc>
          <w:tcPr>
            <w:tcW w:w="425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 год</w:t>
            </w:r>
          </w:p>
        </w:tc>
      </w:tr>
      <w:tr>
        <w:trPr>
          <w:trHeight w:val="437" w:hRule="exact"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4350,3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8141,9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6568,3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3503,3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3628,3</w:t>
            </w:r>
          </w:p>
        </w:tc>
      </w:tr>
      <w:tr>
        <w:trPr>
          <w:trHeight w:val="406" w:hRule="exact"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3665,7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3233,7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2993,4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3214,5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3328,3</w:t>
            </w:r>
          </w:p>
        </w:tc>
      </w:tr>
      <w:tr>
        <w:trPr>
          <w:trHeight w:val="422" w:hRule="exact"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684,6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4908,2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3574,9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288,8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300,0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Николаевского муниципального образования на 2023 год и плановый период 2024 и 2025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 являются земельный налог, акцизы на нефтепродукты и налог на доходы физических лиц.</w: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4029075" cy="1729740"/>
            <wp:effectExtent l="0" t="0" r="0" b="0"/>
            <wp:docPr id="1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03" t="27069" r="30188" b="2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7815" w:leader="none"/>
        </w:tabs>
        <w:spacing w:lineRule="auto" w:line="24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tabs>
          <w:tab w:val="left" w:pos="781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>
      <w:pPr>
        <w:pStyle w:val="Normal"/>
        <w:tabs>
          <w:tab w:val="left" w:pos="7815" w:leader="none"/>
        </w:tabs>
        <w:spacing w:lineRule="auto" w:line="240"/>
        <w:ind w:left="-993" w:hanging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6247765" cy="4267200"/>
            <wp:effectExtent l="0" t="0" r="0" b="0"/>
            <wp:docPr id="19" name="Рисунок 2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7815" w:leader="none"/>
        </w:tabs>
        <w:spacing w:lineRule="auto" w:line="240"/>
        <w:ind w:left="-993" w:hanging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drawing>
          <wp:anchor behindDoc="0" distT="0" distB="0" distL="133350" distR="114935" simplePos="0" locked="0" layoutInCell="1" allowOverlap="1" relativeHeight="8">
            <wp:simplePos x="0" y="0"/>
            <wp:positionH relativeFrom="column">
              <wp:posOffset>-376555</wp:posOffset>
            </wp:positionH>
            <wp:positionV relativeFrom="paragraph">
              <wp:posOffset>364490</wp:posOffset>
            </wp:positionV>
            <wp:extent cx="6438265" cy="3695700"/>
            <wp:effectExtent l="0" t="0" r="0" b="0"/>
            <wp:wrapTight wrapText="bothSides">
              <wp:wrapPolygon edited="0">
                <wp:start x="-90" y="0"/>
                <wp:lineTo x="-90" y="21456"/>
                <wp:lineTo x="21600" y="21456"/>
                <wp:lineTo x="21600" y="0"/>
                <wp:lineTo x="-90" y="0"/>
              </wp:wrapPolygon>
            </wp:wrapTight>
            <wp:docPr id="20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Р</w:t>
      </w:r>
      <w:r>
        <w:rPr>
          <w:rFonts w:ascii="Times New Roman" w:hAnsi="Times New Roman"/>
          <w:b/>
          <w:sz w:val="32"/>
          <w:szCs w:val="32"/>
        </w:rPr>
        <w:t>асходы по основным функциям муниципального образования.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Николаевского муниципального образования по разделам в 2021-2025 годах.</w:t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ab/>
        <w:tab/>
        <w:tab/>
        <w:tab/>
        <w:t>%</w:t>
      </w:r>
    </w:p>
    <w:tbl>
      <w:tblPr>
        <w:tblW w:w="11058" w:type="dxa"/>
        <w:jc w:val="left"/>
        <w:tblInd w:w="-8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1134"/>
        <w:gridCol w:w="4396"/>
        <w:gridCol w:w="1276"/>
        <w:gridCol w:w="1133"/>
        <w:gridCol w:w="992"/>
        <w:gridCol w:w="1133"/>
        <w:gridCol w:w="993"/>
      </w:tblGrid>
      <w:tr>
        <w:trPr>
          <w:trHeight w:val="288" w:hRule="atLeast"/>
        </w:trPr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 оценка</w:t>
            </w:r>
          </w:p>
        </w:tc>
        <w:tc>
          <w:tcPr>
            <w:tcW w:w="31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>
        <w:trPr>
          <w:trHeight w:val="348" w:hRule="atLeast"/>
        </w:trPr>
        <w:tc>
          <w:tcPr>
            <w:tcW w:w="11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39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3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2025г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34,5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60,7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59,8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27,9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12,7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743700" cy="2590800"/>
            <wp:effectExtent l="0" t="0" r="0" b="0"/>
            <wp:docPr id="2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Николаевского муниципального образования по основным разделам на душу населения</w:t>
        <w:tab/>
        <w:tab/>
        <w:tab/>
        <w:tab/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11163" w:type="dxa"/>
        <w:jc w:val="left"/>
        <w:tblInd w:w="-102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1126"/>
        <w:gridCol w:w="3659"/>
        <w:gridCol w:w="1515"/>
        <w:gridCol w:w="1267"/>
        <w:gridCol w:w="1260"/>
        <w:gridCol w:w="1168"/>
        <w:gridCol w:w="1167"/>
      </w:tblGrid>
      <w:tr>
        <w:trPr>
          <w:trHeight w:val="342" w:hRule="atLeast"/>
        </w:trPr>
        <w:tc>
          <w:tcPr>
            <w:tcW w:w="1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</w:p>
        </w:tc>
        <w:tc>
          <w:tcPr>
            <w:tcW w:w="12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2022 год</w:t>
            </w:r>
          </w:p>
        </w:tc>
        <w:tc>
          <w:tcPr>
            <w:tcW w:w="35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612" w:hRule="atLeast"/>
        </w:trPr>
        <w:tc>
          <w:tcPr>
            <w:tcW w:w="112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6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2025г</w:t>
            </w:r>
          </w:p>
        </w:tc>
      </w:tr>
      <w:tr>
        <w:trPr/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2431,39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3061,81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1698,88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1541,71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1532,21</w:t>
            </w:r>
          </w:p>
        </w:tc>
      </w:tr>
      <w:tr>
        <w:trPr/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452,23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1637,99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147,11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124,76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124,76</w:t>
            </w:r>
          </w:p>
        </w:tc>
      </w:tr>
      <w:tr>
        <w:trPr/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16,30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25,88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</w:tr>
      <w:tr>
        <w:trPr/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3570,41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9393,29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6568,34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3410,24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3442,08</w:t>
            </w:r>
          </w:p>
        </w:tc>
      </w:tr>
    </w:tbl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5629275" cy="2790825"/>
            <wp:effectExtent l="0" t="0" r="0" b="0"/>
            <wp:docPr id="2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Николаевского муниципального образования запланированы на 2023 год в сумме 35127,2 тыс. рублей, на 2024 год в сумме </w:t>
      </w:r>
      <w:r>
        <w:rPr>
          <w:rFonts w:ascii="Times New Roman" w:hAnsi="Times New Roman"/>
          <w:sz w:val="26"/>
          <w:szCs w:val="26"/>
        </w:rPr>
        <w:t>1831,3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2025 год сумме 1848,4 тыс. руб. Общий объем и структура расходов представлена в следующей форме:  </w:t>
      </w:r>
      <w:r>
        <w:rPr>
          <w:sz w:val="28"/>
          <w:szCs w:val="28"/>
        </w:rPr>
        <w:tab/>
        <w:tab/>
        <w:tab/>
        <w:tab/>
        <w:tab/>
        <w:tab/>
        <w:tab/>
        <w:tab/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11199" w:type="dxa"/>
        <w:jc w:val="left"/>
        <w:tblInd w:w="-8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1e0"/>
      </w:tblPr>
      <w:tblGrid>
        <w:gridCol w:w="3827"/>
        <w:gridCol w:w="1277"/>
        <w:gridCol w:w="1418"/>
        <w:gridCol w:w="1416"/>
        <w:gridCol w:w="1136"/>
        <w:gridCol w:w="1135"/>
        <w:gridCol w:w="989"/>
      </w:tblGrid>
      <w:tr>
        <w:trPr>
          <w:trHeight w:val="348" w:hRule="atLeast"/>
        </w:trPr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2022 год</w:t>
            </w:r>
          </w:p>
        </w:tc>
        <w:tc>
          <w:tcPr>
            <w:tcW w:w="32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>
        <w:trPr>
          <w:trHeight w:val="624" w:hRule="atLeast"/>
        </w:trPr>
        <w:tc>
          <w:tcPr>
            <w:tcW w:w="382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2023 г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2025г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4" style="width:52.5pt;height:39.75pt" o:ole="">
                  <v:imagedata r:id="rId15" o:title=""/>
                </v:shape>
                <o:OLEObject Type="Embed" ProgID="PBrush" ShapeID="ole_rId14" DrawAspect="Content" ObjectID="_1041690030" r:id="rId14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1662,0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1885,1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1216,3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1110,9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1105,8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6" style="width:51pt;height:41.25pt" o:ole="">
                  <v:imagedata r:id="rId17" o:title=""/>
                </v:shape>
                <o:OLEObject Type="Embed" ProgID="PBrush" ShapeID="ole_rId16" DrawAspect="Content" ObjectID="_185544046" r:id="rId16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105,4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115,8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121,0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125,2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8" style="width:48pt;height:42pt" o:ole="">
                  <v:imagedata r:id="rId19" o:title=""/>
                </v:shape>
                <o:OLEObject Type="Embed" ProgID="PBrush" ShapeID="ole_rId18" DrawAspect="Content" ObjectID="_102253580" r:id="rId18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2160,2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2081,1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497,4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515,4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0" style="width:45pt;height:42pt" o:ole="">
                  <v:imagedata r:id="rId21" o:title=""/>
                </v:shape>
                <o:OLEObject Type="Embed" ProgID="PBrush" ShapeID="ole_rId20" DrawAspect="Content" ObjectID="_1561595453" r:id="rId20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879,6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79,0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2" style="width:45.75pt;height:36.75pt" o:ole="">
                  <v:imagedata r:id="rId23" o:title=""/>
                </v:shape>
                <o:OLEObject Type="Embed" ProgID="PBrush" ShapeID="ole_rId22" DrawAspect="Content" ObjectID="_522955624" r:id="rId22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13,9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4" style="width:45pt;height:36pt" o:ole="">
                  <v:imagedata r:id="rId25" o:title=""/>
                </v:shape>
                <o:OLEObject Type="Embed" ProgID="PBrush" ShapeID="ole_rId24" DrawAspect="Content" ObjectID="_1898734021" r:id="rId24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2020,9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5044,2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3527,2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1831,3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1848,4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tabs>
          <w:tab w:val="left" w:pos="3450" w:leader="none"/>
        </w:tabs>
        <w:rPr/>
      </w:pPr>
      <w:r>
        <w:rPr/>
      </w:r>
    </w:p>
    <w:p>
      <w:pPr>
        <w:pStyle w:val="BodyText2"/>
        <w:spacing w:lineRule="auto" w:line="240" w:before="0" w:after="0"/>
        <w:ind w:left="-851" w:firstLine="142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Бюджетные ассигнования бюджета Николаевского муниципального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>
      <w:pPr>
        <w:pStyle w:val="Normal"/>
        <w:spacing w:lineRule="auto" w:line="240"/>
        <w:ind w:left="7788" w:firstLine="708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1162" w:type="dxa"/>
        <w:jc w:val="left"/>
        <w:tblInd w:w="-8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6910"/>
        <w:gridCol w:w="1559"/>
        <w:gridCol w:w="1276"/>
        <w:gridCol w:w="1416"/>
      </w:tblGrid>
      <w:tr>
        <w:trPr>
          <w:trHeight w:val="344" w:hRule="atLeast"/>
        </w:trPr>
        <w:tc>
          <w:tcPr>
            <w:tcW w:w="69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>
        <w:trPr>
          <w:trHeight w:val="636" w:hRule="atLeast"/>
        </w:trPr>
        <w:tc>
          <w:tcPr>
            <w:tcW w:w="69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2023 год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 год</w:t>
            </w:r>
          </w:p>
        </w:tc>
      </w:tr>
      <w:tr>
        <w:trPr>
          <w:trHeight w:val="439" w:hRule="atLeast"/>
        </w:trPr>
        <w:tc>
          <w:tcPr>
            <w:tcW w:w="691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Николаевского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2165,1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569,4</w:t>
            </w:r>
          </w:p>
        </w:tc>
        <w:tc>
          <w:tcPr>
            <w:tcW w:w="1416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587,4</w:t>
            </w:r>
          </w:p>
        </w:tc>
      </w:tr>
      <w:tr>
        <w:trPr>
          <w:trHeight w:val="255" w:hRule="atLeast"/>
        </w:trPr>
        <w:tc>
          <w:tcPr>
            <w:tcW w:w="691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Николаевского муниципального образования»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2081,1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497,4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515,4</w:t>
            </w:r>
          </w:p>
        </w:tc>
      </w:tr>
      <w:tr>
        <w:trPr>
          <w:trHeight w:val="255" w:hRule="atLeast"/>
        </w:trPr>
        <w:tc>
          <w:tcPr>
            <w:tcW w:w="691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67,0</w:t>
            </w:r>
          </w:p>
        </w:tc>
      </w:tr>
      <w:tr>
        <w:trPr>
          <w:trHeight w:val="180" w:hRule="atLeast"/>
        </w:trPr>
        <w:tc>
          <w:tcPr>
            <w:tcW w:w="691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W w:w="11058" w:type="dxa"/>
        <w:jc w:val="left"/>
        <w:tblInd w:w="-8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3546"/>
        <w:gridCol w:w="1120"/>
        <w:gridCol w:w="1277"/>
        <w:gridCol w:w="992"/>
        <w:gridCol w:w="1277"/>
        <w:gridCol w:w="1134"/>
        <w:gridCol w:w="1711"/>
      </w:tblGrid>
      <w:tr>
        <w:trPr>
          <w:trHeight w:val="429" w:hRule="atLeast"/>
        </w:trPr>
        <w:tc>
          <w:tcPr>
            <w:tcW w:w="35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  <w:tc>
          <w:tcPr>
            <w:tcW w:w="28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01.01.2025г.</w:t>
            </w:r>
          </w:p>
        </w:tc>
      </w:tr>
      <w:tr>
        <w:trPr>
          <w:trHeight w:val="537" w:hRule="atLeast"/>
        </w:trPr>
        <w:tc>
          <w:tcPr>
            <w:tcW w:w="35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7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shd w:fill="C2D69B" w:val="clear"/>
              </w:rPr>
              <w:t>Удельный вес, в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>
        <w:trPr>
          <w:trHeight w:val="269" w:hRule="atLeast"/>
        </w:trPr>
        <w:tc>
          <w:tcPr>
            <w:tcW w:w="35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2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71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</w:tr>
      <w:tr>
        <w:trPr>
          <w:trHeight w:val="630" w:hRule="atLeast"/>
        </w:trPr>
        <w:tc>
          <w:tcPr>
            <w:tcW w:w="3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3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3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Николаевском муниципальном образовании по состоянию на 01.01.2023г. – отсутствует.</w:t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tabs>
          <w:tab w:val="left" w:pos="1560" w:leader="none"/>
        </w:tabs>
        <w:jc w:val="right"/>
        <w:rPr/>
      </w:pPr>
      <w:r>
        <w:rPr/>
        <w:drawing>
          <wp:inline distT="0" distB="0" distL="0" distR="0">
            <wp:extent cx="4533265" cy="1409700"/>
            <wp:effectExtent l="0" t="0" r="0" b="0"/>
            <wp:docPr id="23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tabs>
          <w:tab w:val="left" w:pos="1560" w:leader="none"/>
        </w:tabs>
        <w:rPr/>
      </w:pPr>
      <w:r>
        <w:rPr/>
        <w:drawing>
          <wp:anchor behindDoc="0" distT="0" distB="0" distL="133350" distR="0" simplePos="0" locked="0" layoutInCell="1" allowOverlap="1" relativeHeight="7">
            <wp:simplePos x="0" y="0"/>
            <wp:positionH relativeFrom="column">
              <wp:align>right</wp:align>
            </wp:positionH>
            <wp:positionV relativeFrom="paragraph">
              <wp:posOffset>521970</wp:posOffset>
            </wp:positionV>
            <wp:extent cx="876300" cy="609600"/>
            <wp:effectExtent l="0" t="0" r="0" b="0"/>
            <wp:wrapSquare wrapText="largest"/>
            <wp:docPr id="24" name="Рисунок 21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1" descr="contact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413320, Саратовская область, Ивантеевский район с.Николаевка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/>
      </w:pP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График работы с 8-00 до 16-12,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/>
      </w:pP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5-44-21)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/>
          <w:color w:val="000000"/>
          <w:sz w:val="28"/>
          <w:szCs w:val="28"/>
        </w:rPr>
        <w:t>Тел.5- 44-21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>Глава Николаевского муниципального образования   Демидов А.А.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Электронная почта: nikolaevkaadm2@yandex.ru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418" w:right="567" w:header="0" w:top="454" w:footer="0" w:bottom="45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b3134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8253c"/>
    <w:rPr>
      <w:rFonts w:ascii="Tahoma" w:hAnsi="Tahoma" w:cs="Tahoma"/>
      <w:sz w:val="16"/>
      <w:szCs w:val="16"/>
      <w:lang w:eastAsia="en-US"/>
    </w:rPr>
  </w:style>
  <w:style w:type="character" w:styleId="2" w:customStyle="1">
    <w:name w:val="Основной текст 2 Знак"/>
    <w:basedOn w:val="DefaultParagraphFont"/>
    <w:link w:val="2"/>
    <w:uiPriority w:val="99"/>
    <w:qFormat/>
    <w:rsid w:val="0095738f"/>
    <w:rPr>
      <w:rFonts w:ascii="Calibri" w:hAnsi="Calibri" w:eastAsia="" w:cs="" w:asciiTheme="minorHAnsi" w:cstheme="minorBidi" w:eastAsiaTheme="minorEastAsia" w:hAnsiTheme="minorHAnsi"/>
      <w:sz w:val="22"/>
      <w:szCs w:val="22"/>
      <w:lang w:val="en-US" w:eastAsia="en-US" w:bidi="en-US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f51f39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68253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ec0"/>
    <w:pPr>
      <w:spacing w:before="0" w:after="200"/>
      <w:ind w:left="720" w:hanging="0"/>
      <w:contextualSpacing/>
    </w:pPr>
    <w:rPr>
      <w:rFonts w:eastAsia="Calibri"/>
    </w:rPr>
  </w:style>
  <w:style w:type="paragraph" w:styleId="BodyText2">
    <w:name w:val="Body Text 2"/>
    <w:basedOn w:val="Normal"/>
    <w:link w:val="20"/>
    <w:uiPriority w:val="99"/>
    <w:unhideWhenUsed/>
    <w:qFormat/>
    <w:rsid w:val="0095738f"/>
    <w:pPr>
      <w:spacing w:lineRule="auto" w:line="480" w:before="0" w:after="120"/>
    </w:pPr>
    <w:rPr>
      <w:rFonts w:ascii="Calibri" w:hAnsi="Calibri" w:eastAsia="" w:cs="" w:asciiTheme="minorHAnsi" w:cstheme="minorBidi" w:eastAsiaTheme="minorEastAsia" w:hAnsiTheme="minorHAnsi"/>
      <w:lang w:val="en-US" w:bidi="en-US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e1ec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7e1ec0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chart" Target="charts/chart1.xml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chart" Target="charts/chart2.xml"/><Relationship Id="rId13" Type="http://schemas.openxmlformats.org/officeDocument/2006/relationships/chart" Target="charts/chart3.xml"/><Relationship Id="rId14" Type="http://schemas.openxmlformats.org/officeDocument/2006/relationships/oleObject" Target="embeddings/oleObject1.bin"/><Relationship Id="rId15" Type="http://schemas.openxmlformats.org/officeDocument/2006/relationships/image" Target="media/image10.emf"/><Relationship Id="rId16" Type="http://schemas.openxmlformats.org/officeDocument/2006/relationships/oleObject" Target="embeddings/oleObject2.bin"/><Relationship Id="rId17" Type="http://schemas.openxmlformats.org/officeDocument/2006/relationships/image" Target="media/image11.emf"/><Relationship Id="rId18" Type="http://schemas.openxmlformats.org/officeDocument/2006/relationships/oleObject" Target="embeddings/oleObject3.bin"/><Relationship Id="rId19" Type="http://schemas.openxmlformats.org/officeDocument/2006/relationships/image" Target="media/image12.emf"/><Relationship Id="rId20" Type="http://schemas.openxmlformats.org/officeDocument/2006/relationships/oleObject" Target="embeddings/oleObject4.bin"/><Relationship Id="rId21" Type="http://schemas.openxmlformats.org/officeDocument/2006/relationships/image" Target="media/image13.emf"/><Relationship Id="rId22" Type="http://schemas.openxmlformats.org/officeDocument/2006/relationships/oleObject" Target="embeddings/oleObject5.bin"/><Relationship Id="rId23" Type="http://schemas.openxmlformats.org/officeDocument/2006/relationships/image" Target="media/image14.emf"/><Relationship Id="rId24" Type="http://schemas.openxmlformats.org/officeDocument/2006/relationships/oleObject" Target="embeddings/oleObject6.bin"/><Relationship Id="rId25" Type="http://schemas.openxmlformats.org/officeDocument/2006/relationships/image" Target="media/image15.emf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<Relationship Id="rId31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1" sz="1800" spc="-1" strike="noStrike">
                <a:solidFill>
                  <a:srgbClr val="000000"/>
                </a:solidFill>
                <a:latin typeface="Times New Roman"/>
              </a:defRPr>
            </a:pPr>
            <a:r>
              <a:rPr b="1" sz="1800" spc="-1" strike="noStrike">
                <a:solidFill>
                  <a:srgbClr val="000000"/>
                </a:solidFill>
                <a:latin typeface="Times New Roman"/>
              </a:rPr>
              <a:t>Структура доходов</a:t>
            </a:r>
          </a:p>
        </c:rich>
      </c:tx>
      <c:overlay val="0"/>
    </c:title>
    <c:autoTitleDeleted val="0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НДФЛ</c:v>
                </c:pt>
              </c:strCache>
            </c:strRef>
          </c:tx>
          <c:spPr>
            <a:solidFill>
              <a:srgbClr val="4672a8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4.8</c:v>
                </c:pt>
                <c:pt idx="1">
                  <c:v>2.3</c:v>
                </c:pt>
                <c:pt idx="2">
                  <c:v>3.5</c:v>
                </c:pt>
                <c:pt idx="3">
                  <c:v>6.6</c:v>
                </c:pt>
                <c:pt idx="4">
                  <c:v>6.4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spPr>
            <a:solidFill>
              <a:srgbClr val="ab4744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/>
                </c:pt>
                <c:pt idx="1">
                  <c:v>13.7</c:v>
                </c:pt>
                <c:pt idx="2">
                  <c:v>13.3</c:v>
                </c:pt>
                <c:pt idx="3">
                  <c:v>26.4</c:v>
                </c:pt>
                <c:pt idx="4">
                  <c:v>26.5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ЕСХН</c:v>
                </c:pt>
              </c:strCache>
            </c:strRef>
          </c:tx>
          <c:spPr>
            <a:solidFill>
              <a:srgbClr val="8aa64f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39.9</c:v>
                </c:pt>
                <c:pt idx="1">
                  <c:v>2.7</c:v>
                </c:pt>
                <c:pt idx="2">
                  <c:v>2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spPr>
            <a:solidFill>
              <a:srgbClr val="725990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3.2</c:v>
                </c:pt>
                <c:pt idx="1">
                  <c:v>1.5</c:v>
                </c:pt>
                <c:pt idx="2">
                  <c:v>2.1</c:v>
                </c:pt>
                <c:pt idx="3">
                  <c:v>4.7</c:v>
                </c:pt>
                <c:pt idx="4">
                  <c:v>5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solidFill>
              <a:srgbClr val="4299b0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36.2</c:v>
                </c:pt>
                <c:pt idx="1">
                  <c:v>19.4</c:v>
                </c:pt>
                <c:pt idx="2">
                  <c:v>24.6</c:v>
                </c:pt>
                <c:pt idx="3">
                  <c:v>44.9</c:v>
                </c:pt>
                <c:pt idx="4">
                  <c:v>44.6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dc853e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93a9ce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5"/>
                <c:pt idx="0">
                  <c:v>15.7</c:v>
                </c:pt>
                <c:pt idx="1">
                  <c:v>60.3</c:v>
                </c:pt>
                <c:pt idx="2">
                  <c:v>54.4</c:v>
                </c:pt>
                <c:pt idx="3">
                  <c:v>8.2</c:v>
                </c:pt>
                <c:pt idx="4">
                  <c:v>8.3</c:v>
                </c:pt>
              </c:numCache>
            </c:numRef>
          </c:val>
        </c:ser>
        <c:gapWidth val="150"/>
        <c:overlap val="0"/>
        <c:axId val="63791105"/>
        <c:axId val="15842451"/>
      </c:barChart>
      <c:catAx>
        <c:axId val="63791105"/>
        <c:scaling>
          <c:orientation val="minMax"/>
        </c:scaling>
        <c:delete val="0"/>
        <c:axPos val="b"/>
        <c:numFmt formatCode="MM/DD/YYYY" sourceLinked="1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15842451"/>
        <c:crosses val="autoZero"/>
        <c:auto val="1"/>
        <c:lblAlgn val="ctr"/>
        <c:lblOffset val="100"/>
      </c:catAx>
      <c:valAx>
        <c:axId val="15842451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b="0" sz="1800" spc="-1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b="0" sz="1800" spc="-1" strike="noStrike">
                    <a:solidFill>
                      <a:srgbClr val="000000"/>
                    </a:solidFill>
                    <a:latin typeface="Times New Roman"/>
                  </a:rPr>
                  <a:t>%</a:t>
                </a:r>
              </a:p>
            </c:rich>
          </c:tx>
          <c:overlay val="0"/>
        </c:title>
        <c:numFmt formatCode="0.0" sourceLinked="0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63791105"/>
        <c:crosses val="autoZero"/>
      </c:valAx>
      <c:dTable>
        <c:showHorzBorder val="1"/>
        <c:showVertBorder val="1"/>
        <c:showOutline val="1"/>
      </c:dTable>
      <c:spPr>
        <a:solidFill>
          <a:srgbClr val="ebf1de"/>
        </a:solidFill>
        <a:ln>
          <a:noFill/>
        </a:ln>
      </c:spPr>
    </c:plotArea>
    <c:plotVisOnly val="1"/>
    <c:dispBlanksAs val="gap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c0c0c0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82.2</c:v>
                </c:pt>
                <c:pt idx="1">
                  <c:v>37.4</c:v>
                </c:pt>
                <c:pt idx="2">
                  <c:v>34.5</c:v>
                </c:pt>
                <c:pt idx="3">
                  <c:v>60.7</c:v>
                </c:pt>
                <c:pt idx="4">
                  <c:v>59.8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4.6</c:v>
                </c:pt>
                <c:pt idx="1">
                  <c:v>2.1</c:v>
                </c:pt>
                <c:pt idx="2">
                  <c:v>3.3</c:v>
                </c:pt>
                <c:pt idx="3">
                  <c:v>6.6</c:v>
                </c:pt>
                <c:pt idx="4">
                  <c:v>6.8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/>
                </c:pt>
                <c:pt idx="1">
                  <c:v>42.8</c:v>
                </c:pt>
                <c:pt idx="2">
                  <c:v>59</c:v>
                </c:pt>
                <c:pt idx="3">
                  <c:v>27.2</c:v>
                </c:pt>
                <c:pt idx="4">
                  <c:v>27.9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12.7</c:v>
                </c:pt>
                <c:pt idx="1">
                  <c:v>17.4</c:v>
                </c:pt>
                <c:pt idx="2">
                  <c:v>2.2</c:v>
                </c:pt>
                <c:pt idx="3">
                  <c:v>3.6</c:v>
                </c:pt>
                <c:pt idx="4">
                  <c:v>3.6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0.5</c:v>
                </c:pt>
                <c:pt idx="1">
                  <c:v>0.3</c:v>
                </c:pt>
                <c:pt idx="2">
                  <c:v>0.2</c:v>
                </c:pt>
                <c:pt idx="3">
                  <c:v>0.3</c:v>
                </c:pt>
                <c:pt idx="4">
                  <c:v>0.3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79646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5"/>
                <c:pt idx="0">
                  <c:v>1</c:v>
                </c:pt>
                <c:pt idx="1">
                  <c:v/>
                </c:pt>
                <c:pt idx="2">
                  <c:v/>
                </c:pt>
                <c:pt idx="3">
                  <c:v/>
                </c:pt>
                <c:pt idx="4">
                  <c:v/>
                </c:pt>
              </c:numCache>
            </c:numRef>
          </c:val>
        </c:ser>
        <c:gapWidth val="150"/>
        <c:shape val="box"/>
        <c:axId val="48739286"/>
        <c:axId val="41658905"/>
        <c:axId val="0"/>
      </c:bar3DChart>
      <c:catAx>
        <c:axId val="48739286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41658905"/>
        <c:crosses val="autoZero"/>
        <c:auto val="1"/>
        <c:lblAlgn val="ctr"/>
        <c:lblOffset val="100"/>
      </c:catAx>
      <c:valAx>
        <c:axId val="41658905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48739286"/>
        <c:crosses val="autoZero"/>
      </c:valAx>
      <c:spPr>
        <a:solidFill>
          <a:srgbClr val="c0c0c0"/>
        </a:solidFill>
        <a:ln w="12600">
          <a:solidFill>
            <a:srgbClr val="808080"/>
          </a:solidFill>
          <a:round/>
        </a:ln>
      </c:spPr>
    </c:plotArea>
    <c:legend>
      <c:legendPos val="r"/>
      <c:layout>
        <c:manualLayout>
          <c:xMode val="edge"/>
          <c:yMode val="edge"/>
          <c:x val="0.6265"/>
          <c:y val="0.266111111111111"/>
        </c:manualLayout>
      </c:layout>
      <c:overlay val="0"/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2431.39</c:v>
                </c:pt>
                <c:pt idx="1">
                  <c:v>3061.81</c:v>
                </c:pt>
                <c:pt idx="2">
                  <c:v>1698.88</c:v>
                </c:pt>
                <c:pt idx="3">
                  <c:v>1541.71</c:v>
                </c:pt>
                <c:pt idx="4">
                  <c:v>1532.21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452.23</c:v>
                </c:pt>
                <c:pt idx="1">
                  <c:v>1637.99</c:v>
                </c:pt>
                <c:pt idx="2">
                  <c:v>147.11</c:v>
                </c:pt>
                <c:pt idx="3">
                  <c:v>124.76</c:v>
                </c:pt>
                <c:pt idx="4">
                  <c:v>124.76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16.3</c:v>
                </c:pt>
                <c:pt idx="1">
                  <c:v>25.88</c:v>
                </c:pt>
                <c:pt idx="2">
                  <c:v>9.3</c:v>
                </c:pt>
                <c:pt idx="3">
                  <c:v>9.3</c:v>
                </c:pt>
                <c:pt idx="4">
                  <c:v>9.3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3570.41</c:v>
                </c:pt>
                <c:pt idx="1">
                  <c:v>9393.29</c:v>
                </c:pt>
                <c:pt idx="2">
                  <c:v>6568.34</c:v>
                </c:pt>
                <c:pt idx="3">
                  <c:v>3410.24</c:v>
                </c:pt>
                <c:pt idx="4">
                  <c:v>3135.69</c:v>
                </c:pt>
              </c:numCache>
            </c:numRef>
          </c:val>
        </c:ser>
        <c:gapWidth val="150"/>
        <c:shape val="box"/>
        <c:axId val="98033355"/>
        <c:axId val="57593446"/>
        <c:axId val="0"/>
      </c:bar3DChart>
      <c:catAx>
        <c:axId val="98033355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57593446"/>
        <c:crosses val="autoZero"/>
        <c:auto val="1"/>
        <c:lblAlgn val="ctr"/>
        <c:lblOffset val="100"/>
      </c:catAx>
      <c:valAx>
        <c:axId val="57593446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98033355"/>
        <c:crosses val="autoZero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egendPos val="r"/>
      <c:layout>
        <c:manualLayout>
          <c:xMode val="edge"/>
          <c:yMode val="edge"/>
          <c:x val="0.666375"/>
          <c:y val="0.0847777777777778"/>
        </c:manualLayout>
      </c:layout>
      <c:overlay val="0"/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DFC30-8707-49E3-AB14-E144EA975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Application>LibreOffice/5.4.3.2$Windows_X86_64 LibreOffice_project/92a7159f7e4af62137622921e809f8546db437e5</Application>
  <Pages>12</Pages>
  <Words>1061</Words>
  <Characters>7764</Characters>
  <CharactersWithSpaces>8808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2020-11-16T09:58:00Z</dcterms:created>
  <dc:creator>пользователь</dc:creator>
  <dc:description/>
  <dc:language>ru-RU</dc:language>
  <cp:lastModifiedBy/>
  <cp:lastPrinted>2016-12-13T07:07:00Z</cp:lastPrinted>
  <dcterms:modified xsi:type="dcterms:W3CDTF">2022-12-23T20:44:36Z</dcterms:modified>
  <cp:revision>102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