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A5BBD">
        <w:rPr>
          <w:rFonts w:ascii="Times New Roman" w:hAnsi="Times New Roman"/>
          <w:sz w:val="28"/>
          <w:szCs w:val="28"/>
          <w:u w:val="single"/>
        </w:rPr>
        <w:t>15</w:t>
      </w:r>
      <w:r w:rsidR="007307CB">
        <w:rPr>
          <w:rFonts w:ascii="Times New Roman" w:hAnsi="Times New Roman"/>
          <w:sz w:val="28"/>
          <w:szCs w:val="28"/>
          <w:u w:val="single"/>
        </w:rPr>
        <w:t>.0</w:t>
      </w:r>
      <w:r w:rsidR="004A5BBD">
        <w:rPr>
          <w:rFonts w:ascii="Times New Roman" w:hAnsi="Times New Roman"/>
          <w:sz w:val="28"/>
          <w:szCs w:val="28"/>
          <w:u w:val="single"/>
        </w:rPr>
        <w:t>3</w:t>
      </w:r>
      <w:r w:rsidR="007307CB">
        <w:rPr>
          <w:rFonts w:ascii="Times New Roman" w:hAnsi="Times New Roman"/>
          <w:sz w:val="28"/>
          <w:szCs w:val="28"/>
          <w:u w:val="single"/>
        </w:rPr>
        <w:t>.2021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A5BBD">
        <w:rPr>
          <w:rFonts w:ascii="Times New Roman" w:hAnsi="Times New Roman"/>
          <w:sz w:val="28"/>
          <w:szCs w:val="28"/>
          <w:u w:val="single"/>
        </w:rPr>
        <w:t>111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292F">
        <w:rPr>
          <w:rFonts w:ascii="Times New Roman" w:hAnsi="Times New Roman"/>
          <w:sz w:val="24"/>
          <w:szCs w:val="24"/>
        </w:rPr>
        <w:t>с.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инфраструктуры Ивантеевского муниципального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9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lastRenderedPageBreak/>
        <w:t>Ивантеевскогомуниципального районаСаратовской области</w:t>
      </w:r>
    </w:p>
    <w:p w:rsidR="007307CB" w:rsidRPr="004A5BBD" w:rsidRDefault="004A5BBD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4A5BBD">
        <w:rPr>
          <w:rFonts w:ascii="Times New Roman" w:hAnsi="Times New Roman"/>
          <w:u w:val="single"/>
        </w:rPr>
        <w:t>от 15.03.2021 № 111</w:t>
      </w:r>
    </w:p>
    <w:p w:rsidR="009D6A44" w:rsidRDefault="009D6A44" w:rsidP="00481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0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общих принципах организации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9F7E3A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–эксплуатационным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161572,1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27370,9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27370,9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161572,1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126592,2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160603,3тыс.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3193,0тыс.руб.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27220,9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27220,9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160603,3тыс.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125623,4тыс.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Перелюбским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она)по ул.Зеленая в с.Ивантеевка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Асфальто-бетонное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п.Карьерный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«Ивантеевка-Раевка» по ул. Центральная в с.Раевка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с.Арбузовка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ул.Булычевская в с.Арбузовка)автодорога Ивантеевка-Арбузовка в соответствии с техническим паспортом как автоподъезд к с.Арбузовка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ж/д ст.Тополек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«Ивантеевка-Мирный (в т.ч.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«Ивантеевка-Чернава-Восточный» (2,08 км по ул.Центральная в с.Чернава) автомобильная дорога «Ивантеевка-Чернава-Восточный» на участке км19+200-км33+220 (в т.ч.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п.Знаменский от автомобильной дороги «Самара-Пугачев-Энгельс-Волгоград»(по ул.Центральная в п.Знаменский)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с.Николаевка от автомобильной дороги «Самара-Пугачев-Энгельс-Волгоград»(по ул.Молодежная в с.Николаевка)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>км. 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Виталия 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п. Мирный до с. Дороговиновка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ул.Центральная до ул.Красноармейская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ул.Центральная до ул.Новая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 к с.Щигры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 – Восточный» до ул.Центральная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ул.Плюстовская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 ул.Брянская и ул.Центральная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ул.Центральная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ул.Брянская до ул.Свечиновка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ния Ивантеевка –Клевенка от 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пос. Кожевский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ул.Специалистов до ул.Набережная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ул.Дремова до ул.Победа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ул.Дремова до ул.Спортивная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 от с.Бартеневка до с.Ишково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.Бартеневка до п.Братский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.Бартеневка до п.Прогресс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</w:t>
      </w:r>
      <w:r w:rsidRPr="0060004E">
        <w:rPr>
          <w:rFonts w:ascii="Times New Roman" w:hAnsi="Times New Roman"/>
          <w:sz w:val="24"/>
          <w:szCs w:val="24"/>
        </w:rPr>
        <w:t>а</w:t>
      </w:r>
      <w:r w:rsidRPr="0060004E">
        <w:rPr>
          <w:rFonts w:ascii="Times New Roman" w:hAnsi="Times New Roman"/>
          <w:sz w:val="24"/>
          <w:szCs w:val="24"/>
        </w:rPr>
        <w:t>селенными пунктами осуществляется посредствомлегковогоавтомобильноготранспорта, прина</w:t>
      </w:r>
      <w:r w:rsidRPr="0060004E">
        <w:rPr>
          <w:rFonts w:ascii="Times New Roman" w:hAnsi="Times New Roman"/>
          <w:sz w:val="24"/>
          <w:szCs w:val="24"/>
        </w:rPr>
        <w:t>д</w:t>
      </w:r>
      <w:r w:rsidRPr="0060004E">
        <w:rPr>
          <w:rFonts w:ascii="Times New Roman" w:hAnsi="Times New Roman"/>
          <w:sz w:val="24"/>
          <w:szCs w:val="24"/>
        </w:rPr>
        <w:t xml:space="preserve">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</w:t>
      </w:r>
      <w:r w:rsidRPr="0060004E">
        <w:rPr>
          <w:rFonts w:ascii="Times New Roman" w:hAnsi="Times New Roman"/>
          <w:sz w:val="24"/>
          <w:szCs w:val="24"/>
        </w:rPr>
        <w:lastRenderedPageBreak/>
        <w:t>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соответс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>вующих нормативным требованиям к транспортно –эксплуатационным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60004E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r w:rsidRPr="0060004E">
        <w:rPr>
          <w:rFonts w:ascii="Times New Roman" w:hAnsi="Times New Roman"/>
          <w:sz w:val="24"/>
          <w:szCs w:val="24"/>
        </w:rPr>
        <w:lastRenderedPageBreak/>
        <w:t>усилится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7.Принципиальные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161572,1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27370,9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27370,9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2022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161572,1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lastRenderedPageBreak/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126592,2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F2EA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9F2EAD">
        <w:rPr>
          <w:rFonts w:ascii="Times New Roman" w:hAnsi="Times New Roman"/>
          <w:b/>
          <w:sz w:val="24"/>
          <w:szCs w:val="24"/>
        </w:rPr>
        <w:t>1</w:t>
      </w:r>
      <w:r w:rsidRPr="009F2EAD">
        <w:t xml:space="preserve"> «</w:t>
      </w:r>
      <w:r w:rsidRPr="009F2EAD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9F2EAD">
        <w:rPr>
          <w:rFonts w:ascii="Times New Roman" w:hAnsi="Times New Roman"/>
          <w:sz w:val="24"/>
          <w:szCs w:val="24"/>
        </w:rPr>
        <w:t xml:space="preserve"> - </w:t>
      </w:r>
      <w:r w:rsidRPr="009F2EAD">
        <w:rPr>
          <w:rFonts w:ascii="Times New Roman" w:hAnsi="Times New Roman"/>
          <w:b/>
          <w:sz w:val="24"/>
          <w:szCs w:val="24"/>
        </w:rPr>
        <w:t>160603,3тыс. рублей</w:t>
      </w:r>
      <w:r w:rsidRPr="009F2EAD">
        <w:rPr>
          <w:rFonts w:ascii="Times New Roman" w:hAnsi="Times New Roman"/>
          <w:sz w:val="24"/>
          <w:szCs w:val="24"/>
        </w:rPr>
        <w:t xml:space="preserve">, </w:t>
      </w:r>
      <w:r w:rsidRPr="009F2EAD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3193,0тыс.руб.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27220,9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27220,9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160603,3тыс.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125623,4тыс.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E243C7">
        <w:rPr>
          <w:rFonts w:ascii="Times New Roman" w:hAnsi="Times New Roman"/>
          <w:b/>
          <w:sz w:val="24"/>
          <w:szCs w:val="24"/>
        </w:rPr>
        <w:t>96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 xml:space="preserve">в том числе:местный бюджет – </w:t>
      </w:r>
      <w:r w:rsidR="00E243C7">
        <w:rPr>
          <w:rFonts w:ascii="Times New Roman" w:hAnsi="Times New Roman"/>
          <w:b/>
          <w:sz w:val="24"/>
          <w:szCs w:val="24"/>
        </w:rPr>
        <w:t>96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секвестированием бюджетных расходов на установленные сферы деятельности. Реализация финансовых рисков </w:t>
      </w:r>
      <w:r w:rsidRPr="0060004E">
        <w:rPr>
          <w:rFonts w:ascii="Times New Roman" w:hAnsi="Times New Roman"/>
          <w:sz w:val="24"/>
          <w:szCs w:val="24"/>
        </w:rPr>
        <w:lastRenderedPageBreak/>
        <w:t>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ротяженность автомобильных дорог общего пользования местного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 на территории  Ивантеевскогомуниципального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–эксплуатационным показателям ,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160603,3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3193,0тыс.руб.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27220,9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27220,9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Итого с 2017 –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160603,3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125623,4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Из-за систематического, несвоевременного ремонта (недоремонта)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опорной сети автомобильных дорог общего пользования муниципального значения, обеспечивающей пропуск основного объема грузо - и пассажироперевозок,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160603,3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3193,0тыс.руб.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27220,9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27220,9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 с 2017 –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160603,3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125623,4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lastRenderedPageBreak/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B051D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1–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B051D7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1–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устройство искусственных неровностей 20 шт;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1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</w:t>
      </w:r>
      <w:r w:rsidRPr="0060004E">
        <w:rPr>
          <w:rFonts w:ascii="Times New Roman" w:hAnsi="Times New Roman"/>
          <w:sz w:val="24"/>
          <w:szCs w:val="24"/>
        </w:rPr>
        <w:lastRenderedPageBreak/>
        <w:t>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B051D7">
        <w:rPr>
          <w:rFonts w:ascii="Times New Roman" w:hAnsi="Times New Roman"/>
          <w:sz w:val="24"/>
          <w:szCs w:val="24"/>
        </w:rPr>
        <w:t>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B051D7">
        <w:rPr>
          <w:rFonts w:ascii="Times New Roman" w:hAnsi="Times New Roman"/>
          <w:sz w:val="24"/>
          <w:szCs w:val="24"/>
        </w:rPr>
        <w:t>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B051D7">
        <w:rPr>
          <w:rFonts w:ascii="Times New Roman" w:hAnsi="Times New Roman"/>
          <w:b/>
          <w:sz w:val="24"/>
          <w:szCs w:val="24"/>
        </w:rPr>
        <w:t>96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1–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Ивантеевскогомуниципального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районаСаратовской области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5BBD" w:rsidRPr="004A5BBD">
        <w:rPr>
          <w:rFonts w:ascii="Times New Roman" w:hAnsi="Times New Roman"/>
          <w:u w:val="single"/>
        </w:rPr>
        <w:t>от 15.03.2021 № 111</w:t>
      </w: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Единица измере-ния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автомобильных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Ивантеевскогомуниципального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районаСаратовской области</w:t>
      </w:r>
    </w:p>
    <w:p w:rsidR="007307CB" w:rsidRPr="007307CB" w:rsidRDefault="004A5BBD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4A5BBD">
        <w:rPr>
          <w:rFonts w:ascii="Times New Roman" w:hAnsi="Times New Roman"/>
          <w:u w:val="single"/>
        </w:rPr>
        <w:t>от 15.03.2021 № 111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испол-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финан-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сового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обеспе-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чения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феде-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рального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(прог-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област-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внебюд-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жетных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(прог-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евского  муниципальн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A77E99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A77E99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селенных пунктов, мо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 мостовых перех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дов, находящихся в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ниципальной собстве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ности за счет средств муниципального доро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ж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A77E99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A77E99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C66702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702">
              <w:rPr>
                <w:rFonts w:ascii="Times New Roman" w:hAnsi="Times New Roman"/>
                <w:sz w:val="20"/>
                <w:szCs w:val="20"/>
              </w:rPr>
              <w:t>645,2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C66702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702">
              <w:rPr>
                <w:rFonts w:ascii="Times New Roman" w:hAnsi="Times New Roman"/>
                <w:sz w:val="20"/>
                <w:szCs w:val="20"/>
              </w:rPr>
              <w:t>645,2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C1358">
        <w:trPr>
          <w:trHeight w:val="225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 протяженности сети автомобильных дорого общего пользования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стного значения,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ветствующих нормати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областного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27220,9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160603,3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125623,4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161572,1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126592,2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7307CB" w:rsidRDefault="007307CB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Ивантеевскогомуниципального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районаСаратовской области</w:t>
      </w:r>
    </w:p>
    <w:p w:rsidR="007307CB" w:rsidRPr="007307CB" w:rsidRDefault="004A5BBD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4A5BBD">
        <w:rPr>
          <w:rFonts w:ascii="Times New Roman" w:hAnsi="Times New Roman"/>
          <w:u w:val="single"/>
        </w:rPr>
        <w:t>от 15.03.2021 № 111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значенияИвантеевского района С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стного значения и улично-дорожной сети населенных пунктов Ивантеевского м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27370,9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Ивантеевскогомуниципального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районаСаратовской области</w:t>
      </w:r>
    </w:p>
    <w:p w:rsidR="007307CB" w:rsidRPr="007307CB" w:rsidRDefault="004A5BBD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4A5BBD">
        <w:rPr>
          <w:rFonts w:ascii="Times New Roman" w:hAnsi="Times New Roman"/>
          <w:u w:val="single"/>
        </w:rPr>
        <w:t>от 15.03.2021 № 111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по</w:t>
      </w:r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11" w:name="_GoBack"/>
            <w:bookmarkEnd w:id="11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268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000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</w:t>
            </w:r>
            <w:r w:rsidR="00C602A0">
              <w:rPr>
                <w:rFonts w:ascii="Times New Roman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00,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с. Ивантеевка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Советская,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C602A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C602A0"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C602A0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C602A0">
        <w:tc>
          <w:tcPr>
            <w:tcW w:w="675" w:type="dxa"/>
            <w:gridSpan w:val="2"/>
            <w:vAlign w:val="center"/>
          </w:tcPr>
          <w:p w:rsidR="00C602A0" w:rsidRPr="00C602A0" w:rsidRDefault="00C602A0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C602A0" w:rsidRPr="00D970BD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</w:p>
        </w:tc>
        <w:tc>
          <w:tcPr>
            <w:tcW w:w="1559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268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3,4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ных дорог общего пользования, стройконтроль</w:t>
            </w:r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268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252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обходимой для выполнения комплекса работ по подде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жанию надлежащего технического состояния автом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бильных дорого общего пользования за счет средств 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у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ниципального дорожного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C3A21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645,2</w:t>
            </w:r>
          </w:p>
        </w:tc>
        <w:tc>
          <w:tcPr>
            <w:tcW w:w="2268" w:type="dxa"/>
            <w:vAlign w:val="center"/>
          </w:tcPr>
          <w:p w:rsidR="005C3A21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645,2</w:t>
            </w:r>
          </w:p>
        </w:tc>
        <w:tc>
          <w:tcPr>
            <w:tcW w:w="2410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268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AC" w:rsidRDefault="00D642AC" w:rsidP="009508CF">
      <w:pPr>
        <w:spacing w:after="0" w:line="240" w:lineRule="auto"/>
      </w:pPr>
      <w:r>
        <w:separator/>
      </w:r>
    </w:p>
  </w:endnote>
  <w:endnote w:type="continuationSeparator" w:id="1">
    <w:p w:rsidR="00D642AC" w:rsidRDefault="00D642AC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AC" w:rsidRDefault="00D642AC" w:rsidP="009508CF">
      <w:pPr>
        <w:spacing w:after="0" w:line="240" w:lineRule="auto"/>
      </w:pPr>
      <w:r>
        <w:separator/>
      </w:r>
    </w:p>
  </w:footnote>
  <w:footnote w:type="continuationSeparator" w:id="1">
    <w:p w:rsidR="00D642AC" w:rsidRDefault="00D642AC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2860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C76A3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8090E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D6A44"/>
    <w:rsid w:val="009E0C5A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9F7E3A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A00A0"/>
    <w:rsid w:val="00BA04DE"/>
    <w:rsid w:val="00BA3159"/>
    <w:rsid w:val="00BA4130"/>
    <w:rsid w:val="00BA49B6"/>
    <w:rsid w:val="00BA7D7E"/>
    <w:rsid w:val="00BA7F52"/>
    <w:rsid w:val="00BB1CFC"/>
    <w:rsid w:val="00BB2D50"/>
    <w:rsid w:val="00BB6640"/>
    <w:rsid w:val="00BC075D"/>
    <w:rsid w:val="00BC78F0"/>
    <w:rsid w:val="00BD0901"/>
    <w:rsid w:val="00BD2A18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77A"/>
    <w:rsid w:val="00C602A0"/>
    <w:rsid w:val="00C629AD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2AC"/>
    <w:rsid w:val="00D64B48"/>
    <w:rsid w:val="00D64DE9"/>
    <w:rsid w:val="00D65504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F937B73EFD11912FA60679E5F1C59FDDDD629926100CA984160481F2A6FFE0AFCAE34A1392663l80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1F7F842D39517981F8AC570D264013C7B00580B25D64D84CZ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02A6-9EC3-41D2-8096-025F4834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12228</Words>
  <Characters>69704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92</cp:revision>
  <cp:lastPrinted>2021-03-22T09:23:00Z</cp:lastPrinted>
  <dcterms:created xsi:type="dcterms:W3CDTF">2019-05-16T09:51:00Z</dcterms:created>
  <dcterms:modified xsi:type="dcterms:W3CDTF">2021-03-22T11:55:00Z</dcterms:modified>
</cp:coreProperties>
</file>