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10.07.2023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2306070062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4"/>
        <w:gridCol w:w="1361"/>
        <w:gridCol w:w="1197"/>
        <w:gridCol w:w="1412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с.Ивантеевка,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ул.Фабричная, у восточ-ной границы з/у 14А </w:t>
            </w:r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испоьзование»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населенных пунктов». На земельный участок установлены  ограничения прав, предусмотренные ст. 56ЗК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5лет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220102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357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5141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1362,00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дна тысяча триста шестьдесят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40,86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(сорок рублей ) рублей 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1362,00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дна тысяча триста шестьдесят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</w:rPr>
      </w:pPr>
      <w:bookmarkStart w:id="2" w:name="__DdeLink__695_3651884632"/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 от 11.072023г,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lang w:val="ru-RU" w:eastAsia="ru-RU" w:bidi="ar-SA"/>
        </w:rPr>
        <w:t xml:space="preserve"> аукцион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признан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lang w:val="ru-RU" w:eastAsia="ru-RU" w:bidi="ar-SA"/>
        </w:rPr>
        <w:t xml:space="preserve">несостоявшимся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в связи с тем, что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 xml:space="preserve"> не было подано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ни одного предложения о цене предмета аукциона, которое предусматривало бы более высокую цену предмета аукциона.</w:t>
      </w:r>
      <w:bookmarkEnd w:id="2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 LibreOffice_project/60da17e045e08f1793c57c00ba83cdfce946d0aa</Application>
  <Pages>1</Pages>
  <Words>190</Words>
  <Characters>1329</Characters>
  <CharactersWithSpaces>1540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2023-07-11T13:52:06Z</cp:lastPrinted>
  <dcterms:modified xsi:type="dcterms:W3CDTF">2023-07-11T13:52:29Z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