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439FC">
        <w:rPr>
          <w:rFonts w:ascii="Times New Roman" w:hAnsi="Times New Roman"/>
          <w:sz w:val="28"/>
          <w:szCs w:val="28"/>
          <w:u w:val="single"/>
        </w:rPr>
        <w:t>10.06.2022</w:t>
      </w:r>
      <w:r w:rsidR="000B5CD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B4EB4">
        <w:rPr>
          <w:rFonts w:ascii="Times New Roman" w:hAnsi="Times New Roman"/>
          <w:sz w:val="28"/>
          <w:szCs w:val="28"/>
          <w:u w:val="single"/>
        </w:rPr>
        <w:t>250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 xml:space="preserve">Внести изменения в постановление № 232 от 04.10.2016 г. «Об утверждении муниципальной Программы «Комплексное развитие транспортной инфраструктуры </w:t>
      </w:r>
      <w:proofErr w:type="gramStart"/>
      <w:r w:rsidRPr="00A22553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 20.07.2018 №425; от 28.08.2018№ 527; от 09.10.2018 №627;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553">
        <w:rPr>
          <w:rFonts w:ascii="Times New Roman" w:hAnsi="Times New Roman"/>
          <w:sz w:val="28"/>
          <w:szCs w:val="28"/>
        </w:rPr>
        <w:t>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="00B97D37">
        <w:rPr>
          <w:rFonts w:ascii="Times New Roman" w:hAnsi="Times New Roman"/>
          <w:sz w:val="28"/>
          <w:szCs w:val="28"/>
        </w:rPr>
        <w:t xml:space="preserve">; </w:t>
      </w:r>
      <w:r w:rsidR="00B97D37" w:rsidRPr="00B97D37">
        <w:rPr>
          <w:rFonts w:ascii="Times New Roman" w:hAnsi="Times New Roman"/>
          <w:sz w:val="28"/>
          <w:szCs w:val="28"/>
        </w:rPr>
        <w:t>от 08.07.2021№ 294</w:t>
      </w:r>
      <w:r w:rsidRPr="00A22553">
        <w:rPr>
          <w:rFonts w:ascii="Times New Roman" w:hAnsi="Times New Roman"/>
          <w:sz w:val="28"/>
          <w:szCs w:val="28"/>
        </w:rPr>
        <w:t xml:space="preserve"> </w:t>
      </w:r>
      <w:r w:rsidR="008444D5" w:rsidRPr="008444D5">
        <w:rPr>
          <w:rFonts w:ascii="Times New Roman" w:hAnsi="Times New Roman"/>
          <w:sz w:val="28"/>
          <w:szCs w:val="28"/>
        </w:rPr>
        <w:t>от 06.08.2021№ 343</w:t>
      </w:r>
      <w:r w:rsidR="000B5CD1">
        <w:rPr>
          <w:rFonts w:ascii="Times New Roman" w:hAnsi="Times New Roman"/>
          <w:sz w:val="28"/>
          <w:szCs w:val="28"/>
        </w:rPr>
        <w:t>;</w:t>
      </w:r>
      <w:proofErr w:type="gramEnd"/>
      <w:r w:rsidR="000B5CD1">
        <w:rPr>
          <w:rFonts w:ascii="Times New Roman" w:hAnsi="Times New Roman"/>
          <w:sz w:val="28"/>
          <w:szCs w:val="28"/>
        </w:rPr>
        <w:t xml:space="preserve"> </w:t>
      </w:r>
      <w:r w:rsidR="000B5CD1" w:rsidRPr="000B5CD1">
        <w:rPr>
          <w:rFonts w:ascii="Times New Roman" w:hAnsi="Times New Roman"/>
          <w:sz w:val="28"/>
          <w:szCs w:val="28"/>
        </w:rPr>
        <w:t>от 29.12.2021№ 615</w:t>
      </w:r>
      <w:r w:rsidR="00D90C4B">
        <w:rPr>
          <w:rFonts w:ascii="Times New Roman" w:hAnsi="Times New Roman"/>
          <w:sz w:val="28"/>
          <w:szCs w:val="28"/>
        </w:rPr>
        <w:t>;</w:t>
      </w:r>
      <w:r w:rsidR="00D90C4B" w:rsidRPr="00D90C4B">
        <w:rPr>
          <w:rFonts w:ascii="Times New Roman" w:hAnsi="Times New Roman"/>
          <w:sz w:val="28"/>
          <w:szCs w:val="28"/>
        </w:rPr>
        <w:t xml:space="preserve"> от 14.01.2022 № 9</w:t>
      </w:r>
      <w:r w:rsidR="00552FE4">
        <w:rPr>
          <w:rFonts w:ascii="Times New Roman" w:hAnsi="Times New Roman"/>
          <w:sz w:val="28"/>
          <w:szCs w:val="28"/>
        </w:rPr>
        <w:t xml:space="preserve">; </w:t>
      </w:r>
      <w:r w:rsidR="00552FE4" w:rsidRPr="00552FE4">
        <w:rPr>
          <w:rFonts w:ascii="Times New Roman" w:hAnsi="Times New Roman"/>
          <w:sz w:val="28"/>
          <w:szCs w:val="28"/>
        </w:rPr>
        <w:t>от 11.04.2022 № 147</w:t>
      </w:r>
      <w:r w:rsidR="00D90C4B" w:rsidRPr="009F6297">
        <w:rPr>
          <w:rFonts w:ascii="Times New Roman" w:hAnsi="Times New Roman"/>
          <w:sz w:val="28"/>
          <w:szCs w:val="28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B2C6F" w:rsidRDefault="00BB2C6F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1533D8" w:rsidRDefault="00973080" w:rsidP="00973080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u w:val="single"/>
        </w:rPr>
      </w:pPr>
      <w:r w:rsidRPr="00973080">
        <w:rPr>
          <w:rFonts w:ascii="Times New Roman" w:hAnsi="Times New Roman"/>
        </w:rPr>
        <w:t xml:space="preserve">     </w:t>
      </w:r>
      <w:r w:rsidR="00D90C4B">
        <w:rPr>
          <w:rFonts w:ascii="Times New Roman" w:hAnsi="Times New Roman"/>
        </w:rPr>
        <w:t xml:space="preserve"> </w:t>
      </w:r>
      <w:r w:rsidR="00552FE4">
        <w:rPr>
          <w:rFonts w:ascii="Times New Roman" w:hAnsi="Times New Roman"/>
        </w:rPr>
        <w:t xml:space="preserve">    </w:t>
      </w:r>
      <w:r w:rsidR="001533D8" w:rsidRPr="001533D8">
        <w:rPr>
          <w:rFonts w:ascii="Times New Roman" w:hAnsi="Times New Roman"/>
          <w:u w:val="single"/>
        </w:rPr>
        <w:t xml:space="preserve">от </w:t>
      </w:r>
      <w:r w:rsidR="00552FE4">
        <w:rPr>
          <w:rFonts w:ascii="Times New Roman" w:hAnsi="Times New Roman"/>
          <w:u w:val="single"/>
        </w:rPr>
        <w:t>_________</w:t>
      </w:r>
      <w:r w:rsidR="001533D8" w:rsidRPr="001533D8">
        <w:rPr>
          <w:rFonts w:ascii="Times New Roman" w:hAnsi="Times New Roman"/>
          <w:u w:val="single"/>
        </w:rPr>
        <w:t xml:space="preserve">№ </w:t>
      </w:r>
      <w:r w:rsidR="00552FE4">
        <w:rPr>
          <w:rFonts w:ascii="Times New Roman" w:hAnsi="Times New Roman"/>
          <w:u w:val="single"/>
        </w:rPr>
        <w:t>_____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F7662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8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8444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муниципальной программы за </w:t>
            </w:r>
            <w:proofErr w:type="spellStart"/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proofErr w:type="spellEnd"/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166548,0</w:t>
            </w:r>
            <w:r w:rsidRPr="009F62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>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DB4EB4" w:rsidRPr="00D05740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DB4EB4" w:rsidRPr="00D05740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DB4EB4" w:rsidRPr="00D05740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9E7359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DB4EB4" w:rsidRPr="009E7359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DB4EB4" w:rsidRPr="009E7359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30361,0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DB4EB4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30361,0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12609,6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DB4EB4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12609,6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DB4EB4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DB4EB4" w:rsidRPr="005F0EFA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166548,0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DB4EB4" w:rsidRPr="007C45B3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DB4EB4" w:rsidRPr="00526719" w:rsidRDefault="00DB4EB4" w:rsidP="00DB4EB4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131568,1тыс.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B4EB4" w:rsidRPr="009F2EAD" w:rsidRDefault="00DB4EB4" w:rsidP="00DB4E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526719">
              <w:t xml:space="preserve"> «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164858,0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DB4EB4" w:rsidRPr="009F2EAD" w:rsidTr="00243F69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31250,0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12459,6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12459,6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Всего на 2023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DB4EB4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DB4EB4" w:rsidRPr="009F2EAD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Итого с 2017 –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164858,0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DB4EB4" w:rsidRPr="0060004E" w:rsidTr="00243F69">
              <w:trPr>
                <w:tblCellSpacing w:w="5" w:type="nil"/>
              </w:trPr>
              <w:tc>
                <w:tcPr>
                  <w:tcW w:w="9638" w:type="dxa"/>
                </w:tcPr>
                <w:p w:rsidR="00DB4EB4" w:rsidRPr="009F2EAD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DB4EB4" w:rsidRPr="0060004E" w:rsidRDefault="00DB4EB4" w:rsidP="00243F6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129878,1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DB4EB4" w:rsidRPr="007C45B3" w:rsidRDefault="00DB4EB4" w:rsidP="00DB4EB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1690,0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B4EB4" w:rsidRPr="007C45B3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1690,0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B4EB4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B4EB4" w:rsidRPr="0060004E" w:rsidRDefault="00DB4EB4" w:rsidP="00DB4EB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FB61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 w:rsidR="00FB61D6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</w:t>
      </w:r>
      <w:proofErr w:type="spellStart"/>
      <w:r w:rsidRPr="0060004E">
        <w:rPr>
          <w:rFonts w:ascii="Times New Roman" w:hAnsi="Times New Roman"/>
          <w:sz w:val="24"/>
          <w:szCs w:val="24"/>
        </w:rPr>
        <w:t>Пугачевским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lastRenderedPageBreak/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</w:t>
            </w:r>
            <w:proofErr w:type="spellStart"/>
            <w:r w:rsidRPr="0060004E">
              <w:rPr>
                <w:rFonts w:ascii="Times New Roman" w:hAnsi="Times New Roman"/>
              </w:rPr>
              <w:t>Пугачев</w:t>
            </w:r>
            <w:proofErr w:type="spellEnd"/>
            <w:r w:rsidRPr="0060004E">
              <w:rPr>
                <w:rFonts w:ascii="Times New Roman" w:hAnsi="Times New Roman"/>
              </w:rPr>
              <w:t xml:space="preserve">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</w:t>
            </w:r>
            <w:proofErr w:type="spellStart"/>
            <w:r w:rsidRPr="0060004E">
              <w:rPr>
                <w:rFonts w:ascii="Times New Roman" w:hAnsi="Times New Roman"/>
              </w:rPr>
              <w:t>Пугачев</w:t>
            </w:r>
            <w:proofErr w:type="spellEnd"/>
            <w:r w:rsidRPr="0060004E">
              <w:rPr>
                <w:rFonts w:ascii="Times New Roman" w:hAnsi="Times New Roman"/>
              </w:rPr>
              <w:t xml:space="preserve">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lastRenderedPageBreak/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</w:t>
      </w:r>
      <w:r w:rsidRPr="0060004E">
        <w:rPr>
          <w:rFonts w:ascii="Times New Roman" w:hAnsi="Times New Roman"/>
          <w:sz w:val="24"/>
          <w:szCs w:val="24"/>
        </w:rPr>
        <w:lastRenderedPageBreak/>
        <w:t>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FB61D6">
        <w:rPr>
          <w:rFonts w:ascii="Times New Roman" w:hAnsi="Times New Roman"/>
          <w:b/>
          <w:sz w:val="24"/>
          <w:szCs w:val="24"/>
        </w:rPr>
        <w:t>4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DB4EB4">
        <w:rPr>
          <w:rFonts w:ascii="Times New Roman" w:hAnsi="Times New Roman"/>
          <w:b/>
          <w:sz w:val="24"/>
          <w:szCs w:val="24"/>
        </w:rPr>
        <w:t>166548,0</w:t>
      </w:r>
      <w:r w:rsidRPr="009F6297">
        <w:rPr>
          <w:rFonts w:ascii="Times New Roman" w:hAnsi="Times New Roman"/>
          <w:b/>
          <w:sz w:val="24"/>
          <w:szCs w:val="24"/>
        </w:rPr>
        <w:t>т</w:t>
      </w:r>
      <w:r w:rsidRPr="00BF4440">
        <w:rPr>
          <w:rFonts w:ascii="Times New Roman" w:hAnsi="Times New Roman"/>
          <w:b/>
          <w:sz w:val="24"/>
          <w:szCs w:val="24"/>
        </w:rPr>
        <w:t>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Всего на 2021 г. </w:t>
      </w:r>
      <w:r w:rsidR="0000094C">
        <w:rPr>
          <w:rFonts w:ascii="Times New Roman" w:hAnsi="Times New Roman"/>
          <w:b/>
          <w:sz w:val="24"/>
          <w:szCs w:val="24"/>
          <w:u w:val="single"/>
        </w:rPr>
        <w:t>30361,0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30361</w:t>
      </w:r>
      <w:r w:rsidR="00526719">
        <w:rPr>
          <w:rFonts w:ascii="Times New Roman" w:hAnsi="Times New Roman"/>
          <w:sz w:val="24"/>
          <w:szCs w:val="24"/>
        </w:rPr>
        <w:t>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DB4EB4">
        <w:rPr>
          <w:rFonts w:ascii="Times New Roman" w:hAnsi="Times New Roman"/>
          <w:b/>
          <w:sz w:val="24"/>
          <w:szCs w:val="24"/>
          <w:u w:val="single"/>
        </w:rPr>
        <w:t>12609,6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DB4EB4">
        <w:rPr>
          <w:rFonts w:ascii="Times New Roman" w:hAnsi="Times New Roman"/>
          <w:sz w:val="24"/>
          <w:szCs w:val="24"/>
        </w:rPr>
        <w:t>12609,6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FB61D6" w:rsidRPr="007C45B3" w:rsidRDefault="00FB61D6" w:rsidP="00FB61D6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FB61D6" w:rsidRPr="005F0EFA" w:rsidRDefault="00FB61D6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4EB4">
        <w:rPr>
          <w:rFonts w:ascii="Times New Roman" w:hAnsi="Times New Roman"/>
          <w:b/>
          <w:sz w:val="24"/>
          <w:szCs w:val="24"/>
          <w:u w:val="single"/>
        </w:rPr>
        <w:t>166548,0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52671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DB4EB4">
        <w:rPr>
          <w:rFonts w:ascii="Times New Roman" w:hAnsi="Times New Roman"/>
          <w:sz w:val="24"/>
          <w:szCs w:val="24"/>
        </w:rPr>
        <w:t>131568,1</w:t>
      </w:r>
      <w:r w:rsidR="00FB61D6">
        <w:rPr>
          <w:rFonts w:ascii="Times New Roman" w:hAnsi="Times New Roman"/>
          <w:sz w:val="24"/>
          <w:szCs w:val="24"/>
        </w:rPr>
        <w:t>тыс.</w:t>
      </w:r>
      <w:r w:rsidRPr="00526719">
        <w:rPr>
          <w:rFonts w:ascii="Times New Roman" w:hAnsi="Times New Roman"/>
          <w:sz w:val="24"/>
          <w:szCs w:val="24"/>
        </w:rPr>
        <w:t xml:space="preserve">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526719">
        <w:rPr>
          <w:rFonts w:ascii="Times New Roman" w:hAnsi="Times New Roman"/>
          <w:b/>
          <w:sz w:val="24"/>
          <w:szCs w:val="24"/>
        </w:rPr>
        <w:t>1</w:t>
      </w:r>
      <w:r w:rsidRPr="00526719">
        <w:t xml:space="preserve"> «</w:t>
      </w:r>
      <w:r w:rsidRPr="00526719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26719">
        <w:rPr>
          <w:rFonts w:ascii="Times New Roman" w:hAnsi="Times New Roman"/>
          <w:sz w:val="24"/>
          <w:szCs w:val="24"/>
        </w:rPr>
        <w:t xml:space="preserve"> - </w:t>
      </w:r>
      <w:r w:rsidR="00DB4EB4">
        <w:rPr>
          <w:rFonts w:ascii="Times New Roman" w:hAnsi="Times New Roman"/>
          <w:b/>
          <w:sz w:val="24"/>
          <w:szCs w:val="24"/>
        </w:rPr>
        <w:t>164858,0</w:t>
      </w:r>
      <w:r w:rsidRPr="00526719">
        <w:rPr>
          <w:rFonts w:ascii="Times New Roman" w:hAnsi="Times New Roman"/>
          <w:b/>
          <w:sz w:val="24"/>
          <w:szCs w:val="24"/>
        </w:rPr>
        <w:t>тыс. рублей</w:t>
      </w:r>
      <w:r w:rsidRPr="00526719">
        <w:rPr>
          <w:rFonts w:ascii="Times New Roman" w:hAnsi="Times New Roman"/>
          <w:sz w:val="24"/>
          <w:szCs w:val="24"/>
        </w:rPr>
        <w:t xml:space="preserve">, </w:t>
      </w:r>
      <w:r w:rsidRPr="00526719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000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29639,8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52966">
              <w:rPr>
                <w:rFonts w:ascii="Times New Roman" w:hAnsi="Times New Roman"/>
                <w:sz w:val="24"/>
                <w:szCs w:val="24"/>
              </w:rPr>
              <w:t>31250,0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0172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12459</w:t>
            </w:r>
            <w:r w:rsidR="00285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</w:t>
            </w:r>
            <w:r w:rsidR="00FB61D6"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DB4EB4">
              <w:rPr>
                <w:rFonts w:ascii="Times New Roman" w:hAnsi="Times New Roman"/>
                <w:sz w:val="24"/>
                <w:szCs w:val="24"/>
              </w:rPr>
              <w:t>12459,6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2023 г. 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="00FB61D6"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0172C3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0172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164858,0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0172C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0172C3">
              <w:rPr>
                <w:rFonts w:ascii="Times New Roman" w:hAnsi="Times New Roman"/>
                <w:sz w:val="24"/>
                <w:szCs w:val="24"/>
              </w:rPr>
              <w:t>129878,1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FB61D6">
        <w:rPr>
          <w:rFonts w:ascii="Times New Roman" w:hAnsi="Times New Roman"/>
          <w:b/>
          <w:sz w:val="24"/>
          <w:szCs w:val="24"/>
        </w:rPr>
        <w:t>69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FB61D6">
        <w:rPr>
          <w:rFonts w:ascii="Times New Roman" w:hAnsi="Times New Roman"/>
          <w:b/>
          <w:sz w:val="24"/>
          <w:szCs w:val="24"/>
        </w:rPr>
        <w:t>69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Средства муниципального дорожного фонда на период 2017-202</w:t>
      </w:r>
      <w:r w:rsidR="00FB61D6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Ивантеевского муниципального района,  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847FC4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74C7">
              <w:rPr>
                <w:rFonts w:ascii="Times New Roman" w:hAnsi="Times New Roman"/>
                <w:b/>
                <w:sz w:val="24"/>
                <w:szCs w:val="24"/>
              </w:rPr>
              <w:t>164858</w:t>
            </w:r>
            <w:r w:rsidR="00285905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Pr="00FB61D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0094C">
                    <w:rPr>
                      <w:rFonts w:ascii="Times New Roman" w:hAnsi="Times New Roman"/>
                      <w:sz w:val="24"/>
                      <w:szCs w:val="24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 w:rsidR="00017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12459,6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172C3">
                    <w:rPr>
                      <w:rFonts w:ascii="Times New Roman" w:hAnsi="Times New Roman"/>
                      <w:sz w:val="24"/>
                      <w:szCs w:val="24"/>
                    </w:rPr>
                    <w:t>12459,6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847FC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847FC4"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0172C3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6834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0172C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164858,0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0172C3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172C3">
                    <w:rPr>
                      <w:rFonts w:ascii="Times New Roman" w:hAnsi="Times New Roman"/>
                      <w:sz w:val="24"/>
                      <w:szCs w:val="24"/>
                    </w:rPr>
                    <w:t>129878,1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</w:t>
      </w:r>
      <w:proofErr w:type="spellStart"/>
      <w:r w:rsidRPr="0060004E">
        <w:rPr>
          <w:rFonts w:ascii="Times New Roman" w:hAnsi="Times New Roman"/>
          <w:sz w:val="24"/>
          <w:szCs w:val="24"/>
        </w:rPr>
        <w:t>объема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</w:t>
      </w:r>
      <w:r w:rsidRPr="0060004E">
        <w:rPr>
          <w:rFonts w:ascii="Times New Roman" w:hAnsi="Times New Roman"/>
          <w:sz w:val="24"/>
          <w:szCs w:val="24"/>
        </w:rPr>
        <w:lastRenderedPageBreak/>
        <w:t>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443BDD" w:rsidRDefault="00D179F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Start w:id="11" w:name="Par1018"/>
      <w:bookmarkEnd w:id="9"/>
      <w:bookmarkEnd w:id="10"/>
      <w:bookmarkEnd w:id="11"/>
      <w:r>
        <w:rPr>
          <w:rFonts w:ascii="Times New Roman" w:hAnsi="Times New Roman"/>
          <w:b/>
          <w:sz w:val="24"/>
          <w:szCs w:val="24"/>
        </w:rPr>
        <w:t>4</w:t>
      </w:r>
      <w:r w:rsidR="00BD2ED7" w:rsidRPr="00443BD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6834B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B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79F7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6834BA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6834B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B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847FC4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</w:t>
      </w:r>
      <w:r w:rsidRPr="0060004E">
        <w:rPr>
          <w:rFonts w:ascii="Times New Roman" w:hAnsi="Times New Roman"/>
          <w:sz w:val="24"/>
          <w:szCs w:val="24"/>
        </w:rPr>
        <w:lastRenderedPageBreak/>
        <w:t>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F7EB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2ED7" w:rsidRPr="0060004E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0A7672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0A7672">
        <w:rPr>
          <w:rFonts w:ascii="Times New Roman" w:hAnsi="Times New Roman"/>
        </w:rPr>
        <w:t xml:space="preserve">       </w:t>
      </w:r>
      <w:r w:rsidR="000A7672" w:rsidRPr="001533D8">
        <w:rPr>
          <w:rFonts w:ascii="Times New Roman" w:hAnsi="Times New Roman"/>
          <w:u w:val="single"/>
        </w:rPr>
        <w:t xml:space="preserve">от </w:t>
      </w:r>
      <w:r w:rsidR="000A7672">
        <w:rPr>
          <w:rFonts w:ascii="Times New Roman" w:hAnsi="Times New Roman"/>
          <w:u w:val="single"/>
        </w:rPr>
        <w:t>1</w:t>
      </w:r>
      <w:r w:rsidR="00C85AE7">
        <w:rPr>
          <w:rFonts w:ascii="Times New Roman" w:hAnsi="Times New Roman"/>
          <w:u w:val="single"/>
        </w:rPr>
        <w:t>0</w:t>
      </w:r>
      <w:r w:rsidR="000A7672">
        <w:rPr>
          <w:rFonts w:ascii="Times New Roman" w:hAnsi="Times New Roman"/>
          <w:u w:val="single"/>
        </w:rPr>
        <w:t>.0</w:t>
      </w:r>
      <w:r w:rsidR="00C85AE7">
        <w:rPr>
          <w:rFonts w:ascii="Times New Roman" w:hAnsi="Times New Roman"/>
          <w:u w:val="single"/>
        </w:rPr>
        <w:t>6</w:t>
      </w:r>
      <w:r w:rsidR="000A7672">
        <w:rPr>
          <w:rFonts w:ascii="Times New Roman" w:hAnsi="Times New Roman"/>
          <w:u w:val="single"/>
        </w:rPr>
        <w:t>.2022</w:t>
      </w:r>
      <w:r w:rsidR="000A7672" w:rsidRPr="001533D8">
        <w:rPr>
          <w:rFonts w:ascii="Times New Roman" w:hAnsi="Times New Roman"/>
          <w:u w:val="single"/>
        </w:rPr>
        <w:t xml:space="preserve">№ </w:t>
      </w:r>
      <w:r w:rsidR="00C85AE7">
        <w:rPr>
          <w:rFonts w:ascii="Times New Roman" w:hAnsi="Times New Roman"/>
          <w:u w:val="single"/>
        </w:rPr>
        <w:t>250</w:t>
      </w: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528"/>
        <w:gridCol w:w="284"/>
        <w:gridCol w:w="425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D2ED7" w:rsidRPr="0060004E" w:rsidTr="00DA3F2E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ница изм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го, межмуниципального значения, не отвечающих нормативным требованиям, в общей протяженности автомобильных дорог общего пользования регионального, межмуниц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пального значения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рожного движения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ь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6834BA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338"/>
        </w:trPr>
        <w:tc>
          <w:tcPr>
            <w:tcW w:w="11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2572C6">
        <w:rPr>
          <w:rFonts w:ascii="Times New Roman" w:hAnsi="Times New Roman"/>
        </w:rPr>
        <w:t xml:space="preserve">  </w:t>
      </w:r>
      <w:r w:rsidR="00D90C4B">
        <w:rPr>
          <w:rFonts w:ascii="Times New Roman" w:hAnsi="Times New Roman"/>
        </w:rPr>
        <w:t xml:space="preserve">    </w:t>
      </w:r>
      <w:r w:rsidR="000A7672" w:rsidRPr="001533D8">
        <w:rPr>
          <w:rFonts w:ascii="Times New Roman" w:hAnsi="Times New Roman"/>
          <w:u w:val="single"/>
        </w:rPr>
        <w:t xml:space="preserve">от </w:t>
      </w:r>
      <w:r w:rsidR="00B353DA">
        <w:rPr>
          <w:rFonts w:ascii="Times New Roman" w:hAnsi="Times New Roman"/>
          <w:u w:val="single"/>
        </w:rPr>
        <w:t>10.06.2022</w:t>
      </w:r>
      <w:r w:rsidR="000A7672" w:rsidRPr="001533D8">
        <w:rPr>
          <w:rFonts w:ascii="Times New Roman" w:hAnsi="Times New Roman"/>
          <w:u w:val="single"/>
        </w:rPr>
        <w:t xml:space="preserve">№ </w:t>
      </w:r>
      <w:r w:rsidR="00B353DA">
        <w:rPr>
          <w:rFonts w:ascii="Times New Roman" w:hAnsi="Times New Roman"/>
          <w:u w:val="single"/>
        </w:rPr>
        <w:t>250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A4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4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552F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552F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11240,5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73C9A">
        <w:trPr>
          <w:trHeight w:val="143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6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DD" w:rsidRPr="00A45CDD" w:rsidRDefault="00A45CDD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552F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552F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32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4637E4">
        <w:trPr>
          <w:trHeight w:val="636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90C4B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90C4B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46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4C1358">
        <w:trPr>
          <w:trHeight w:val="1591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B353DA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12459,6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B353DA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12459,6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353DA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164858,0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353DA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129878,1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955CC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CC2">
              <w:rPr>
                <w:rFonts w:ascii="Times New Roman" w:hAnsi="Times New Roman"/>
                <w:b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955CC2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9D4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9D4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A0165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0B5CD1">
        <w:trPr>
          <w:trHeight w:val="24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05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0B5CD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100217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217">
              <w:rPr>
                <w:rFonts w:ascii="Times New Roman" w:hAnsi="Times New Roman"/>
                <w:b/>
                <w:sz w:val="20"/>
                <w:szCs w:val="20"/>
              </w:rPr>
              <w:t>1690</w:t>
            </w:r>
            <w:r w:rsidR="00BE653F" w:rsidRPr="001002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 w:rsidRPr="001002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100217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217">
              <w:rPr>
                <w:rFonts w:ascii="Times New Roman" w:hAnsi="Times New Roman"/>
                <w:b/>
                <w:sz w:val="20"/>
                <w:szCs w:val="20"/>
              </w:rPr>
              <w:t>1690</w:t>
            </w:r>
            <w:r w:rsidR="00067204" w:rsidRPr="001002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 w:rsidRPr="001002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9D4C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9D4C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353D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12609,6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353D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12609</w:t>
            </w:r>
            <w:r w:rsidR="008E4D8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564087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8D7F82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B353DA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166548</w:t>
            </w:r>
            <w:r w:rsidR="009F629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B353DA" w:rsidP="0010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131568</w:t>
            </w:r>
            <w:r w:rsidR="008E4D8B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</w:t>
      </w:r>
      <w:r w:rsidR="002572C6">
        <w:rPr>
          <w:rFonts w:ascii="Times New Roman" w:hAnsi="Times New Roman"/>
        </w:rPr>
        <w:t xml:space="preserve">   </w:t>
      </w:r>
      <w:r w:rsidR="00285905">
        <w:rPr>
          <w:rFonts w:ascii="Times New Roman" w:hAnsi="Times New Roman"/>
        </w:rPr>
        <w:t xml:space="preserve">    </w:t>
      </w:r>
      <w:r w:rsidR="000A7672" w:rsidRPr="001533D8">
        <w:rPr>
          <w:rFonts w:ascii="Times New Roman" w:hAnsi="Times New Roman"/>
          <w:u w:val="single"/>
        </w:rPr>
        <w:t xml:space="preserve">от </w:t>
      </w:r>
      <w:r w:rsidR="000A7672">
        <w:rPr>
          <w:rFonts w:ascii="Times New Roman" w:hAnsi="Times New Roman"/>
          <w:u w:val="single"/>
        </w:rPr>
        <w:t>1</w:t>
      </w:r>
      <w:r w:rsidR="00B353DA">
        <w:rPr>
          <w:rFonts w:ascii="Times New Roman" w:hAnsi="Times New Roman"/>
          <w:u w:val="single"/>
        </w:rPr>
        <w:t>0</w:t>
      </w:r>
      <w:r w:rsidR="000A7672">
        <w:rPr>
          <w:rFonts w:ascii="Times New Roman" w:hAnsi="Times New Roman"/>
          <w:u w:val="single"/>
        </w:rPr>
        <w:t>.0</w:t>
      </w:r>
      <w:r w:rsidR="00B353DA">
        <w:rPr>
          <w:rFonts w:ascii="Times New Roman" w:hAnsi="Times New Roman"/>
          <w:u w:val="single"/>
        </w:rPr>
        <w:t>6</w:t>
      </w:r>
      <w:r w:rsidR="000A7672">
        <w:rPr>
          <w:rFonts w:ascii="Times New Roman" w:hAnsi="Times New Roman"/>
          <w:u w:val="single"/>
        </w:rPr>
        <w:t>.2022</w:t>
      </w:r>
      <w:r w:rsidR="000A7672" w:rsidRPr="001533D8">
        <w:rPr>
          <w:rFonts w:ascii="Times New Roman" w:hAnsi="Times New Roman"/>
          <w:u w:val="single"/>
        </w:rPr>
        <w:t xml:space="preserve">№ </w:t>
      </w:r>
      <w:r w:rsidR="00B353DA">
        <w:rPr>
          <w:rFonts w:ascii="Times New Roman" w:hAnsi="Times New Roman"/>
          <w:u w:val="single"/>
        </w:rPr>
        <w:t>250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36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4"/>
        <w:gridCol w:w="3134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236"/>
        <w:gridCol w:w="32"/>
        <w:gridCol w:w="964"/>
        <w:gridCol w:w="16"/>
        <w:gridCol w:w="1587"/>
        <w:gridCol w:w="27"/>
        <w:gridCol w:w="16"/>
        <w:gridCol w:w="835"/>
        <w:gridCol w:w="20"/>
      </w:tblGrid>
      <w:tr w:rsidR="00BD2ED7" w:rsidRPr="0060004E" w:rsidTr="00A83C7C">
        <w:trPr>
          <w:gridAfter w:val="1"/>
          <w:wAfter w:w="20" w:type="dxa"/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4" w:type="dxa"/>
            <w:gridSpan w:val="10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3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100217" w:rsidRPr="0060004E" w:rsidTr="00A83C7C">
        <w:trPr>
          <w:gridAfter w:val="1"/>
          <w:wAfter w:w="20" w:type="dxa"/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8" w:type="dxa"/>
            <w:gridSpan w:val="2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A83C7C" w:rsidRPr="0060004E" w:rsidTr="00A83C7C">
        <w:trPr>
          <w:cantSplit/>
          <w:trHeight w:val="1235"/>
          <w:jc w:val="center"/>
        </w:trPr>
        <w:tc>
          <w:tcPr>
            <w:tcW w:w="820" w:type="dxa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4" w:type="dxa"/>
            <w:vAlign w:val="center"/>
          </w:tcPr>
          <w:p w:rsidR="00A83C7C" w:rsidRPr="0060004E" w:rsidRDefault="00A83C7C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4" w:type="dxa"/>
          </w:tcPr>
          <w:p w:rsidR="00A83C7C" w:rsidRPr="0060004E" w:rsidRDefault="00A83C7C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A83C7C" w:rsidRPr="00DA3F2E" w:rsidRDefault="00B353DA" w:rsidP="00285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164858</w:t>
            </w:r>
            <w:r w:rsidR="0028590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7C01A9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29639,2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B353DA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12459,6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DA3F2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A83C7C" w:rsidRPr="0060004E" w:rsidRDefault="00A83C7C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C7C" w:rsidRPr="0060004E" w:rsidTr="00A83C7C">
        <w:trPr>
          <w:cantSplit/>
          <w:trHeight w:val="921"/>
          <w:jc w:val="center"/>
        </w:trPr>
        <w:tc>
          <w:tcPr>
            <w:tcW w:w="7588" w:type="dxa"/>
            <w:gridSpan w:val="3"/>
            <w:vAlign w:val="center"/>
          </w:tcPr>
          <w:p w:rsidR="00A83C7C" w:rsidRPr="0060004E" w:rsidRDefault="00A83C7C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A83C7C" w:rsidRPr="00DA3F2E" w:rsidRDefault="00B353DA" w:rsidP="00B03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164858</w:t>
            </w:r>
            <w:r w:rsidR="0028590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29639,8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C85AE7" w:rsidRDefault="00B353DA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12459,6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A83C7C" w:rsidRPr="0060004E" w:rsidRDefault="00A83C7C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B06A67">
        <w:trPr>
          <w:gridAfter w:val="1"/>
          <w:wAfter w:w="20" w:type="dxa"/>
          <w:cantSplit/>
          <w:trHeight w:val="291"/>
          <w:jc w:val="center"/>
        </w:trPr>
        <w:tc>
          <w:tcPr>
            <w:tcW w:w="15016" w:type="dxa"/>
            <w:gridSpan w:val="20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06A67" w:rsidRPr="0060004E" w:rsidTr="00A83C7C">
        <w:trPr>
          <w:gridAfter w:val="1"/>
          <w:wAfter w:w="20" w:type="dxa"/>
          <w:cantSplit/>
          <w:trHeight w:val="782"/>
          <w:jc w:val="center"/>
        </w:trPr>
        <w:tc>
          <w:tcPr>
            <w:tcW w:w="820" w:type="dxa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4" w:type="dxa"/>
          </w:tcPr>
          <w:p w:rsidR="00B06A67" w:rsidRPr="0060004E" w:rsidRDefault="00B06A67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4" w:type="dxa"/>
          </w:tcPr>
          <w:p w:rsidR="00B06A67" w:rsidRPr="0060004E" w:rsidRDefault="00B06A67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06A67" w:rsidRPr="00A83C7C" w:rsidRDefault="00B06A67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3C7C">
              <w:rPr>
                <w:rFonts w:ascii="Times New Roman" w:hAnsi="Times New Roman"/>
                <w:b/>
                <w:sz w:val="18"/>
                <w:szCs w:val="18"/>
              </w:rPr>
              <w:t>1690,0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7C01A9" w:rsidRDefault="00B06A67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B06A67" w:rsidRPr="0060004E" w:rsidRDefault="00B06A67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A83C7C">
        <w:trPr>
          <w:cantSplit/>
          <w:trHeight w:val="765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B06A67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A83C7C">
        <w:trPr>
          <w:gridAfter w:val="1"/>
          <w:wAfter w:w="20" w:type="dxa"/>
          <w:cantSplit/>
          <w:trHeight w:val="992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C85AE7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166548</w:t>
            </w:r>
            <w:r w:rsidR="009F629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30361,0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C85AE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12609,6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DA3F2E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sectPr w:rsidR="00BD2ED7" w:rsidRPr="0060004E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D" w:rsidRDefault="00F7662D" w:rsidP="009508CF">
      <w:pPr>
        <w:spacing w:after="0" w:line="240" w:lineRule="auto"/>
      </w:pPr>
      <w:r>
        <w:separator/>
      </w:r>
    </w:p>
  </w:endnote>
  <w:endnote w:type="continuationSeparator" w:id="0">
    <w:p w:rsidR="00F7662D" w:rsidRDefault="00F7662D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D" w:rsidRDefault="00F7662D" w:rsidP="009508CF">
      <w:pPr>
        <w:spacing w:after="0" w:line="240" w:lineRule="auto"/>
      </w:pPr>
      <w:r>
        <w:separator/>
      </w:r>
    </w:p>
  </w:footnote>
  <w:footnote w:type="continuationSeparator" w:id="0">
    <w:p w:rsidR="00F7662D" w:rsidRDefault="00F7662D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094C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172C3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3C9A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966AD"/>
    <w:rsid w:val="000A050B"/>
    <w:rsid w:val="000A4586"/>
    <w:rsid w:val="000A4EE2"/>
    <w:rsid w:val="000A7672"/>
    <w:rsid w:val="000B41E7"/>
    <w:rsid w:val="000B4E1F"/>
    <w:rsid w:val="000B5B7F"/>
    <w:rsid w:val="000B5CD1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840"/>
    <w:rsid w:val="000E3998"/>
    <w:rsid w:val="000E4776"/>
    <w:rsid w:val="000E6CF4"/>
    <w:rsid w:val="000E7045"/>
    <w:rsid w:val="000F2CA8"/>
    <w:rsid w:val="000F3A66"/>
    <w:rsid w:val="000F4D89"/>
    <w:rsid w:val="000F6089"/>
    <w:rsid w:val="00100217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33D8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2C8D"/>
    <w:rsid w:val="00195D32"/>
    <w:rsid w:val="001A12E7"/>
    <w:rsid w:val="001A2471"/>
    <w:rsid w:val="001A71DA"/>
    <w:rsid w:val="001A7E1D"/>
    <w:rsid w:val="001B079A"/>
    <w:rsid w:val="001B4CBE"/>
    <w:rsid w:val="001B6654"/>
    <w:rsid w:val="001C02D1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27932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5CB2"/>
    <w:rsid w:val="002571AB"/>
    <w:rsid w:val="002572C6"/>
    <w:rsid w:val="00257441"/>
    <w:rsid w:val="00262482"/>
    <w:rsid w:val="00265068"/>
    <w:rsid w:val="00276B15"/>
    <w:rsid w:val="00276F05"/>
    <w:rsid w:val="00280F91"/>
    <w:rsid w:val="00282CD2"/>
    <w:rsid w:val="00283BFB"/>
    <w:rsid w:val="00285905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4C85"/>
    <w:rsid w:val="004C5E99"/>
    <w:rsid w:val="004C6ACA"/>
    <w:rsid w:val="004D07F4"/>
    <w:rsid w:val="004D510D"/>
    <w:rsid w:val="004D70C5"/>
    <w:rsid w:val="004D71E3"/>
    <w:rsid w:val="004D76EE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0F70"/>
    <w:rsid w:val="00511367"/>
    <w:rsid w:val="005155C7"/>
    <w:rsid w:val="0051677E"/>
    <w:rsid w:val="00521789"/>
    <w:rsid w:val="00521F3B"/>
    <w:rsid w:val="00523C13"/>
    <w:rsid w:val="0052477C"/>
    <w:rsid w:val="00526719"/>
    <w:rsid w:val="00532C9A"/>
    <w:rsid w:val="00534004"/>
    <w:rsid w:val="00542107"/>
    <w:rsid w:val="00542E4A"/>
    <w:rsid w:val="005515E8"/>
    <w:rsid w:val="00552CA9"/>
    <w:rsid w:val="00552FE4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1217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7767F"/>
    <w:rsid w:val="00680A03"/>
    <w:rsid w:val="00681051"/>
    <w:rsid w:val="0068334B"/>
    <w:rsid w:val="006834BA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12A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557E7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5BB3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44D5"/>
    <w:rsid w:val="008454F3"/>
    <w:rsid w:val="00845607"/>
    <w:rsid w:val="008461B7"/>
    <w:rsid w:val="00847FC4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4D8B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2332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55CC2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480A"/>
    <w:rsid w:val="009C6A72"/>
    <w:rsid w:val="009C6F96"/>
    <w:rsid w:val="009C7E05"/>
    <w:rsid w:val="009D13F2"/>
    <w:rsid w:val="009D308B"/>
    <w:rsid w:val="009D3C0B"/>
    <w:rsid w:val="009D4CEA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297"/>
    <w:rsid w:val="009F69A9"/>
    <w:rsid w:val="009F6F49"/>
    <w:rsid w:val="00A00116"/>
    <w:rsid w:val="00A00A2F"/>
    <w:rsid w:val="00A0165D"/>
    <w:rsid w:val="00A02437"/>
    <w:rsid w:val="00A035E4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5CDD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83C7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88E"/>
    <w:rsid w:val="00B03D4B"/>
    <w:rsid w:val="00B051D7"/>
    <w:rsid w:val="00B051EE"/>
    <w:rsid w:val="00B06A67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3DA"/>
    <w:rsid w:val="00B35A16"/>
    <w:rsid w:val="00B439FC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1857"/>
    <w:rsid w:val="00B83FAB"/>
    <w:rsid w:val="00B84819"/>
    <w:rsid w:val="00B84D68"/>
    <w:rsid w:val="00B85914"/>
    <w:rsid w:val="00B909F3"/>
    <w:rsid w:val="00B91639"/>
    <w:rsid w:val="00B9420D"/>
    <w:rsid w:val="00B95943"/>
    <w:rsid w:val="00B97D37"/>
    <w:rsid w:val="00BA00A0"/>
    <w:rsid w:val="00BA04DE"/>
    <w:rsid w:val="00BA3159"/>
    <w:rsid w:val="00BA4130"/>
    <w:rsid w:val="00BA49B6"/>
    <w:rsid w:val="00BA604F"/>
    <w:rsid w:val="00BA7D7E"/>
    <w:rsid w:val="00BA7F52"/>
    <w:rsid w:val="00BB1CFC"/>
    <w:rsid w:val="00BB2C6F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3F48"/>
    <w:rsid w:val="00BF4440"/>
    <w:rsid w:val="00BF555B"/>
    <w:rsid w:val="00BF6B68"/>
    <w:rsid w:val="00BF7EB7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277B"/>
    <w:rsid w:val="00C45314"/>
    <w:rsid w:val="00C4725C"/>
    <w:rsid w:val="00C50075"/>
    <w:rsid w:val="00C5077A"/>
    <w:rsid w:val="00C5618E"/>
    <w:rsid w:val="00C602A0"/>
    <w:rsid w:val="00C629AD"/>
    <w:rsid w:val="00C64012"/>
    <w:rsid w:val="00C6449B"/>
    <w:rsid w:val="00C64BCC"/>
    <w:rsid w:val="00C661D7"/>
    <w:rsid w:val="00C66702"/>
    <w:rsid w:val="00C70C60"/>
    <w:rsid w:val="00C72800"/>
    <w:rsid w:val="00C7362C"/>
    <w:rsid w:val="00C74667"/>
    <w:rsid w:val="00C75CF6"/>
    <w:rsid w:val="00C76598"/>
    <w:rsid w:val="00C83926"/>
    <w:rsid w:val="00C844E5"/>
    <w:rsid w:val="00C84DD0"/>
    <w:rsid w:val="00C851A3"/>
    <w:rsid w:val="00C85AE7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179F7"/>
    <w:rsid w:val="00D20E24"/>
    <w:rsid w:val="00D31D9C"/>
    <w:rsid w:val="00D3475E"/>
    <w:rsid w:val="00D35125"/>
    <w:rsid w:val="00D354F8"/>
    <w:rsid w:val="00D41BD8"/>
    <w:rsid w:val="00D41F50"/>
    <w:rsid w:val="00D43E43"/>
    <w:rsid w:val="00D445B5"/>
    <w:rsid w:val="00D447E4"/>
    <w:rsid w:val="00D45CAD"/>
    <w:rsid w:val="00D47003"/>
    <w:rsid w:val="00D47824"/>
    <w:rsid w:val="00D50604"/>
    <w:rsid w:val="00D50922"/>
    <w:rsid w:val="00D53937"/>
    <w:rsid w:val="00D573BD"/>
    <w:rsid w:val="00D574C7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0C4B"/>
    <w:rsid w:val="00D91CB6"/>
    <w:rsid w:val="00D970BD"/>
    <w:rsid w:val="00D9724C"/>
    <w:rsid w:val="00DA16FC"/>
    <w:rsid w:val="00DA216A"/>
    <w:rsid w:val="00DA3A8D"/>
    <w:rsid w:val="00DA3F2E"/>
    <w:rsid w:val="00DA4CAA"/>
    <w:rsid w:val="00DA5C03"/>
    <w:rsid w:val="00DA6C8C"/>
    <w:rsid w:val="00DB3B75"/>
    <w:rsid w:val="00DB3F5A"/>
    <w:rsid w:val="00DB43F0"/>
    <w:rsid w:val="00DB4EB4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45A4"/>
    <w:rsid w:val="00E25093"/>
    <w:rsid w:val="00E25F63"/>
    <w:rsid w:val="00E30A8F"/>
    <w:rsid w:val="00E34439"/>
    <w:rsid w:val="00E36079"/>
    <w:rsid w:val="00E369DC"/>
    <w:rsid w:val="00E37CB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6FBC"/>
    <w:rsid w:val="00E87052"/>
    <w:rsid w:val="00E90830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2966"/>
    <w:rsid w:val="00F534D3"/>
    <w:rsid w:val="00F55486"/>
    <w:rsid w:val="00F60895"/>
    <w:rsid w:val="00F62E2E"/>
    <w:rsid w:val="00F64543"/>
    <w:rsid w:val="00F66B81"/>
    <w:rsid w:val="00F67C8E"/>
    <w:rsid w:val="00F7662D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61D6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E35D-1218-4834-AEF7-9C7DE3A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30</Pages>
  <Words>11721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21</cp:revision>
  <cp:lastPrinted>2022-06-20T06:54:00Z</cp:lastPrinted>
  <dcterms:created xsi:type="dcterms:W3CDTF">2022-01-18T05:00:00Z</dcterms:created>
  <dcterms:modified xsi:type="dcterms:W3CDTF">2022-06-20T06:56:00Z</dcterms:modified>
</cp:coreProperties>
</file>