
<file path=[Content_Types].xml><?xml version="1.0" encoding="utf-8"?>
<Types xmlns="http://schemas.openxmlformats.org/package/2006/content-types">
  <Override PartName="/word/media/image2.png" ContentType="image/png"/>
  <Override PartName="/word/media/image5.png" ContentType="image/png"/>
  <Override PartName="/word/media/image8.png" ContentType="image/png"/>
  <Override PartName="/word/media/image1.png" ContentType="image/png"/>
  <Override PartName="/word/media/image4.png" ContentType="image/png"/>
  <Override PartName="/word/media/image7.png" ContentType="image/png"/>
  <Override PartName="/word/media/image3.png" ContentType="image/png"/>
  <Override PartName="/word/media/image10.png" ContentType="image/png"/>
  <Override PartName="/word/media/image6.png" ContentType="image/png"/>
  <Override PartName="/word/media/image9.png" ContentType="image/pn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ind w:firstLine="709" w:left="0" w:right="0"/>
        <w:spacing w:line="100" w:lineRule="atLeast"/>
      </w:pPr>
      <w:r>
        <w:rPr>
          <w:sz w:val="28"/>
          <w:b/>
          <w:szCs w:val="28"/>
          <w:rFonts w:ascii="Times New Roman" w:hAnsi="Times New Roman"/>
        </w:rPr>
        <w:t>Уважаемые жители Знаменского муниципального образования.</w:t>
      </w:r>
    </w:p>
    <w:p>
      <w:pPr>
        <w:pStyle w:val="style0"/>
        <w:jc w:val="both"/>
        <w:ind w:firstLine="709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style0"/>
        <w:jc w:val="both"/>
        <w:ind w:firstLine="709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>«Бюджет для граждан» предназначен прежде всего для жителей 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Знаменского муниципального образования.</w:t>
      </w:r>
    </w:p>
    <w:p>
      <w:pPr>
        <w:pStyle w:val="style0"/>
        <w:jc w:val="center"/>
        <w:ind w:firstLine="708" w:left="0" w:right="0"/>
        <w:spacing w:line="100" w:lineRule="atLeast"/>
      </w:pPr>
      <w:r>
        <w:rPr>
          <w:sz w:val="30"/>
          <w:b/>
          <w:shd w:fill="FFFF00"/>
          <w:szCs w:val="30"/>
          <w:rFonts w:ascii="Times New Roman" w:hAnsi="Times New Roman"/>
        </w:rPr>
        <w:t>Бюджетный процесс- ежегодное формирование и исполнение бюджета</w:t>
      </w:r>
    </w:p>
    <w:p>
      <w:pPr>
        <w:pStyle w:val="style0"/>
        <w:jc w:val="both"/>
        <w:ind w:firstLine="708" w:left="0" w:right="0"/>
        <w:spacing w:line="100" w:lineRule="atLeast"/>
      </w:pPr>
      <w:r>
        <w:rPr/>
        <w:drawing>
          <wp:inline distB="0" distL="0" distR="0" distT="0">
            <wp:extent cx="5663565" cy="32004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32"/>
          <w:shd w:fill="00FFFF"/>
          <w:szCs w:val="32"/>
          <w:rFonts w:ascii="Times New Roman" w:hAnsi="Times New Roman"/>
        </w:rPr>
        <w:t>Что такое бюджет?</w:t>
      </w:r>
    </w:p>
    <w:p>
      <w:pPr>
        <w:pStyle w:val="style0"/>
        <w:jc w:val="both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</w:rPr>
        <w:t>Бюджет – это план доходов и расходов на определенный период.</w:t>
      </w:r>
    </w:p>
    <w:p>
      <w:pPr>
        <w:pStyle w:val="style0"/>
        <w:jc w:val="center"/>
        <w:spacing w:line="100" w:lineRule="atLeast"/>
      </w:pPr>
      <w:r>
        <w:rPr>
          <w:sz w:val="28"/>
          <w:szCs w:val="28"/>
          <w:rFonts w:ascii="Times New Roman" w:hAnsi="Times New Roman"/>
        </w:rPr>
        <w:t xml:space="preserve">Бюджет Знаменского муниципального образования  </w:t>
      </w:r>
    </w:p>
    <w:p>
      <w:pPr>
        <w:pStyle w:val="style0"/>
        <w:jc w:val="center"/>
        <w:ind w:firstLine="708" w:left="7080" w:right="0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>тыс. руб.</w:t>
      </w:r>
    </w:p>
    <w:tbl>
      <w:tblPr>
        <w:tblBorders/>
        <w:jc w:val="left"/>
        <w:tblInd w:type="dxa" w:w="-108"/>
      </w:tblPr>
      <w:tblGrid>
        <w:gridCol w:w="4360"/>
        <w:gridCol w:w="6203"/>
        <w:gridCol w:w="7904"/>
        <w:gridCol w:w="9538"/>
      </w:tblGrid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Показатели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Исполнение за 2014 год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План 2015 год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План 2016 год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Доходы, в том числе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4454,1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2917,8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3096,8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Налоговые, неналоговые доходы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4240,8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2710,4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2870,0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Безвозмездные поступления</w:t>
            </w:r>
            <w:r>
              <w:rPr>
                <w:sz w:val="28"/>
                <w:szCs w:val="28"/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213,3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207,4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226,8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 xml:space="preserve">Расходы, в том числе 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3586,4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3973,7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3096,8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1890,1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1669,3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1876,9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ЖКХ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404,0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967,8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927,9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Национальная экономика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1090,5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1098,5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15,0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Национальная оборона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154,0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144,9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160,0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Другие расходы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47,8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86,8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117,0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36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Баланс (доходы-расходы)</w:t>
            </w:r>
          </w:p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(-)Дефицит или профицит(+)</w:t>
            </w:r>
          </w:p>
        </w:tc>
        <w:tc>
          <w:tcPr>
            <w:tcBorders/>
            <w:shd w:fill="auto"/>
            <w:tcW w:type="dxa" w:w="620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867,7</w:t>
            </w:r>
          </w:p>
        </w:tc>
        <w:tc>
          <w:tcPr>
            <w:tcBorders/>
            <w:shd w:fill="auto"/>
            <w:tcW w:type="dxa" w:w="790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-1055,9</w:t>
            </w:r>
          </w:p>
        </w:tc>
        <w:tc>
          <w:tcPr>
            <w:tcBorders/>
            <w:shd w:fill="auto"/>
            <w:tcW w:type="dxa" w:w="953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0</w:t>
            </w:r>
          </w:p>
        </w:tc>
      </w:tr>
    </w:tbl>
    <w:p>
      <w:pPr>
        <w:pStyle w:val="style0"/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  <w:tab/>
      </w:r>
      <w:r>
        <w:rPr>
          <w:sz w:val="32"/>
          <w:shd w:fill="00FFFF"/>
          <w:szCs w:val="32"/>
          <w:rFonts w:ascii="Times New Roman" w:hAnsi="Times New Roman"/>
        </w:rPr>
        <w:t>Зачем нужны бюджеты?</w:t>
      </w:r>
    </w:p>
    <w:p>
      <w:pPr>
        <w:pStyle w:val="style0"/>
        <w:jc w:val="both"/>
        <w:spacing w:line="100" w:lineRule="atLeast"/>
      </w:pPr>
      <w:r>
        <w:rPr>
          <w:sz w:val="28"/>
          <w:szCs w:val="28"/>
          <w:rFonts w:ascii="Times New Roman" w:hAnsi="Times New Roman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style0"/>
        <w:jc w:val="center"/>
        <w:spacing w:line="100" w:lineRule="atLeast"/>
      </w:pP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Ос</w:t>
      </w:r>
      <w:r>
        <w:rPr>
          <w:color w:val="404040"/>
          <w:position w:val="-12"/>
          <w:sz w:val="32"/>
          <w:spacing w:val="-2"/>
          <w:b/>
          <w:shd w:fill="FFFF00"/>
          <w:szCs w:val="32"/>
          <w:bCs/>
          <w:rFonts w:ascii="Times New Roman" w:hAnsi="Times New Roman"/>
        </w:rPr>
        <w:t>н</w:t>
      </w:r>
      <w:r>
        <w:rPr>
          <w:color w:val="404040"/>
          <w:position w:val="-12"/>
          <w:sz w:val="32"/>
          <w:spacing w:val="-9"/>
          <w:b/>
          <w:shd w:fill="FFFF00"/>
          <w:szCs w:val="32"/>
          <w:bCs/>
          <w:rFonts w:ascii="Times New Roman" w:hAnsi="Times New Roman"/>
        </w:rPr>
        <w:t>о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в</w:t>
      </w:r>
      <w:r>
        <w:rPr>
          <w:color w:val="404040"/>
          <w:position w:val="-12"/>
          <w:sz w:val="32"/>
          <w:spacing w:val="-2"/>
          <w:b/>
          <w:shd w:fill="FFFF00"/>
          <w:szCs w:val="32"/>
          <w:bCs/>
          <w:rFonts w:ascii="Times New Roman" w:hAnsi="Times New Roman"/>
        </w:rPr>
        <w:t>н</w:t>
      </w:r>
      <w:r>
        <w:rPr>
          <w:color w:val="404040"/>
          <w:position w:val="-12"/>
          <w:sz w:val="32"/>
          <w:spacing w:val="-1"/>
          <w:b/>
          <w:shd w:fill="FFFF00"/>
          <w:szCs w:val="32"/>
          <w:bCs/>
          <w:rFonts w:ascii="Times New Roman" w:hAnsi="Times New Roman"/>
        </w:rPr>
        <w:t>ы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е</w:t>
      </w:r>
      <w:r>
        <w:rPr>
          <w:color w:val="404040"/>
          <w:position w:val="-12"/>
          <w:sz w:val="32"/>
          <w:spacing w:val="-7"/>
          <w:b/>
          <w:shd w:fill="FFFF00"/>
          <w:szCs w:val="32"/>
          <w:bCs/>
          <w:rFonts w:ascii="Times New Roman" w:hAnsi="Times New Roman"/>
        </w:rPr>
        <w:t xml:space="preserve"> </w:t>
      </w:r>
      <w:r>
        <w:rPr>
          <w:color w:val="404040"/>
          <w:position w:val="-12"/>
          <w:sz w:val="32"/>
          <w:spacing w:val="-4"/>
          <w:b/>
          <w:shd w:fill="FFFF00"/>
          <w:szCs w:val="32"/>
          <w:bCs/>
          <w:rFonts w:ascii="Times New Roman" w:hAnsi="Times New Roman"/>
        </w:rPr>
        <w:t>х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ар</w:t>
      </w:r>
      <w:r>
        <w:rPr>
          <w:color w:val="404040"/>
          <w:position w:val="-12"/>
          <w:sz w:val="32"/>
          <w:spacing w:val="2"/>
          <w:b/>
          <w:shd w:fill="FFFF00"/>
          <w:szCs w:val="32"/>
          <w:bCs/>
          <w:rFonts w:ascii="Times New Roman" w:hAnsi="Times New Roman"/>
        </w:rPr>
        <w:t>а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к</w:t>
      </w:r>
      <w:r>
        <w:rPr>
          <w:color w:val="404040"/>
          <w:position w:val="-12"/>
          <w:sz w:val="32"/>
          <w:spacing w:val="-3"/>
          <w:b/>
          <w:shd w:fill="FFFF00"/>
          <w:szCs w:val="32"/>
          <w:bCs/>
          <w:rFonts w:ascii="Times New Roman" w:hAnsi="Times New Roman"/>
        </w:rPr>
        <w:t>т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ер</w:t>
      </w:r>
      <w:r>
        <w:rPr>
          <w:color w:val="404040"/>
          <w:position w:val="-12"/>
          <w:sz w:val="32"/>
          <w:spacing w:val="-1"/>
          <w:b/>
          <w:shd w:fill="FFFF00"/>
          <w:szCs w:val="32"/>
          <w:bCs/>
          <w:rFonts w:ascii="Times New Roman" w:hAnsi="Times New Roman"/>
        </w:rPr>
        <w:t>и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с</w:t>
      </w:r>
      <w:r>
        <w:rPr>
          <w:color w:val="404040"/>
          <w:position w:val="-12"/>
          <w:sz w:val="32"/>
          <w:spacing w:val="-3"/>
          <w:b/>
          <w:shd w:fill="FFFF00"/>
          <w:szCs w:val="32"/>
          <w:bCs/>
          <w:rFonts w:ascii="Times New Roman" w:hAnsi="Times New Roman"/>
        </w:rPr>
        <w:t>т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и</w:t>
      </w:r>
      <w:r>
        <w:rPr>
          <w:color w:val="404040"/>
          <w:position w:val="-12"/>
          <w:sz w:val="32"/>
          <w:spacing w:val="-2"/>
          <w:b/>
          <w:shd w:fill="FFFF00"/>
          <w:szCs w:val="32"/>
          <w:bCs/>
          <w:rFonts w:ascii="Times New Roman" w:hAnsi="Times New Roman"/>
        </w:rPr>
        <w:t>к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и</w:t>
      </w:r>
      <w:r>
        <w:rPr>
          <w:color w:val="404040"/>
          <w:position w:val="-12"/>
          <w:sz w:val="32"/>
          <w:spacing w:val="-2"/>
          <w:b/>
          <w:shd w:fill="FFFF00"/>
          <w:szCs w:val="32"/>
          <w:bCs/>
          <w:rFonts w:ascii="Times New Roman" w:hAnsi="Times New Roman"/>
        </w:rPr>
        <w:t xml:space="preserve"> 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б</w:t>
      </w:r>
      <w:r>
        <w:rPr>
          <w:color w:val="404040"/>
          <w:position w:val="-12"/>
          <w:sz w:val="32"/>
          <w:spacing w:val="-22"/>
          <w:b/>
          <w:shd w:fill="FFFF00"/>
          <w:szCs w:val="32"/>
          <w:bCs/>
          <w:rFonts w:ascii="Times New Roman" w:hAnsi="Times New Roman"/>
        </w:rPr>
        <w:t>ю</w:t>
      </w:r>
      <w:r>
        <w:rPr>
          <w:color w:val="404040"/>
          <w:position w:val="-12"/>
          <w:sz w:val="32"/>
          <w:spacing w:val="-2"/>
          <w:b/>
          <w:shd w:fill="FFFF00"/>
          <w:szCs w:val="32"/>
          <w:bCs/>
          <w:rFonts w:ascii="Times New Roman" w:hAnsi="Times New Roman"/>
        </w:rPr>
        <w:t>д</w:t>
      </w:r>
      <w:r>
        <w:rPr>
          <w:color w:val="404040"/>
          <w:position w:val="-12"/>
          <w:sz w:val="32"/>
          <w:spacing w:val="-5"/>
          <w:b/>
          <w:shd w:fill="FFFF00"/>
          <w:szCs w:val="32"/>
          <w:bCs/>
          <w:rFonts w:ascii="Times New Roman" w:hAnsi="Times New Roman"/>
        </w:rPr>
        <w:t>ж</w:t>
      </w:r>
      <w:r>
        <w:rPr>
          <w:color w:val="404040"/>
          <w:position w:val="-12"/>
          <w:sz w:val="32"/>
          <w:b/>
          <w:shd w:fill="FFFF00"/>
          <w:szCs w:val="32"/>
          <w:bCs/>
          <w:rFonts w:ascii="Times New Roman" w:hAnsi="Times New Roman"/>
        </w:rPr>
        <w:t>е</w:t>
      </w:r>
      <w:r>
        <w:rPr>
          <w:color w:val="404040"/>
          <w:position w:val="-12"/>
          <w:sz w:val="32"/>
          <w:spacing w:val="-8"/>
          <w:b/>
          <w:shd w:fill="FFFF00"/>
          <w:szCs w:val="32"/>
          <w:bCs/>
          <w:rFonts w:ascii="Times New Roman" w:hAnsi="Times New Roman"/>
        </w:rPr>
        <w:t>та</w:t>
      </w:r>
    </w:p>
    <w:p>
      <w:pPr>
        <w:pStyle w:val="style0"/>
        <w:jc w:val="both"/>
        <w:spacing w:line="100" w:lineRule="atLeast"/>
      </w:pPr>
      <w:r>
        <w:rPr/>
        <w:drawing>
          <wp:inline distB="0" distL="0" distR="0" distT="0">
            <wp:extent cx="6248400" cy="41719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</w:rPr>
        <w:t>Дефицит и профицит</w:t>
      </w:r>
    </w:p>
    <w:p>
      <w:pPr>
        <w:pStyle w:val="style0"/>
        <w:jc w:val="both"/>
        <w:spacing w:line="100" w:lineRule="atLeast"/>
      </w:pPr>
      <w:r>
        <w:rPr/>
        <w:drawing>
          <wp:inline distB="0" distL="0" distR="0" distT="0">
            <wp:extent cx="6295390" cy="36861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  <w:lang w:eastAsia="ru-RU" w:val="en-US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  <w:lang w:eastAsia="ru-RU"/>
        </w:rPr>
        <w:t>Доходы бюджета</w:t>
      </w:r>
    </w:p>
    <w:p>
      <w:pPr>
        <w:pStyle w:val="style0"/>
        <w:jc w:val="center"/>
        <w:spacing w:line="100" w:lineRule="atLeast"/>
      </w:pPr>
      <w:r>
        <w:rPr/>
        <w:drawing>
          <wp:inline distB="0" distL="0" distR="0" distT="0">
            <wp:extent cx="6295390" cy="29813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</w:rPr>
        <w:t>Межбюджетные трансферты-основной вид безвозмездных перечислений</w:t>
      </w:r>
    </w:p>
    <w:p>
      <w:pPr>
        <w:pStyle w:val="style0"/>
        <w:jc w:val="both"/>
        <w:spacing w:line="100" w:lineRule="atLeast"/>
      </w:pPr>
      <w:r>
        <w:rPr/>
        <w:drawing>
          <wp:inline distB="0" distL="0" distR="0" distT="0">
            <wp:extent cx="6295390" cy="41624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  <w:lang w:val="en-US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  <w:lang w:val="en-US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  <w:lang w:val="en-US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  <w:lang w:val="en-US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  <w:lang w:val="en-US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</w:rPr>
        <w:t>Федеральные, региональные и местные налоги.</w:t>
      </w:r>
    </w:p>
    <w:p>
      <w:pPr>
        <w:pStyle w:val="style0"/>
        <w:jc w:val="center"/>
        <w:spacing w:line="100" w:lineRule="atLeast"/>
      </w:pPr>
      <w:r>
        <w:rPr/>
        <w:drawing>
          <wp:inline distB="0" distL="0" distR="0" distT="0">
            <wp:extent cx="6248400" cy="44100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</w:rPr>
        <w:t>Мы все - налогоплательщики</w:t>
      </w:r>
    </w:p>
    <w:p>
      <w:pPr>
        <w:pStyle w:val="style0"/>
        <w:jc w:val="center"/>
        <w:spacing w:line="100" w:lineRule="atLeast"/>
      </w:pPr>
      <w:r>
        <w:rPr/>
        <w:drawing>
          <wp:inline distB="0" distL="0" distR="0" distT="0">
            <wp:extent cx="6295390" cy="43719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spacing w:line="100" w:lineRule="atLeast"/>
      </w:pPr>
      <w:r>
        <w:rPr>
          <w:sz w:val="32"/>
          <w:b/>
          <w:szCs w:val="32"/>
          <w:rFonts w:ascii="Times New Roman" w:hAnsi="Times New Roman"/>
          <w:lang w:val="en-US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</w:rPr>
        <w:t>Налоги зачисляемые в бюджет муниципального образования в 2016году</w:t>
      </w:r>
    </w:p>
    <w:p>
      <w:pPr>
        <w:pStyle w:val="style0"/>
        <w:jc w:val="center"/>
        <w:spacing w:line="100" w:lineRule="atLeast"/>
      </w:pPr>
      <w:r>
        <w:rPr/>
        <w:drawing>
          <wp:inline distB="0" distL="0" distR="0" distT="0">
            <wp:extent cx="6248400" cy="40195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spacing w:line="100" w:lineRule="atLeast"/>
      </w:pPr>
      <w:r>
        <w:rPr>
          <w:sz w:val="30"/>
          <w:b/>
          <w:shd w:fill="FFFF00"/>
          <w:szCs w:val="30"/>
          <w:rFonts w:ascii="Times New Roman" w:hAnsi="Times New Roman"/>
        </w:rPr>
        <w:t>Структура доходов бюджета Знаменского муниципального образования</w:t>
      </w:r>
      <w:r>
        <w:rPr>
          <w:sz w:val="30"/>
          <w:b/>
          <w:szCs w:val="30"/>
          <w:rFonts w:ascii="Times New Roman" w:hAnsi="Times New Roman"/>
        </w:rPr>
        <w:t xml:space="preserve"> </w:t>
      </w:r>
    </w:p>
    <w:p>
      <w:pPr>
        <w:pStyle w:val="style0"/>
        <w:jc w:val="right"/>
        <w:tabs>
          <w:tab w:leader="none" w:pos="4020" w:val="left"/>
          <w:tab w:leader="none" w:pos="4677" w:val="center"/>
        </w:tabs>
        <w:spacing w:line="100" w:lineRule="atLeast"/>
      </w:pPr>
      <w:r>
        <w:rPr>
          <w:sz w:val="28"/>
          <w:szCs w:val="28"/>
          <w:rFonts w:ascii="Times New Roman" w:hAnsi="Times New Roman"/>
        </w:rPr>
        <w:t xml:space="preserve"> </w:t>
      </w:r>
      <w:r>
        <w:rPr>
          <w:sz w:val="28"/>
          <w:szCs w:val="28"/>
          <w:rFonts w:ascii="Times New Roman" w:hAnsi="Times New Roman"/>
        </w:rPr>
        <w:t>(тыс. руб.)</w:t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15"/>
      </w:tblPr>
      <w:tblGrid>
        <w:gridCol w:w="4368"/>
        <w:gridCol w:w="6127"/>
        <w:gridCol w:w="7856"/>
        <w:gridCol w:w="9099"/>
      </w:tblGrid>
      <w:tr>
        <w:trPr>
          <w:trHeight w:hRule="atLeast" w:val="322"/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Наименование доходов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Фактическое исполнение за 2014 год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Уточненный план за 2015 год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vMerge w:val="restart"/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Бюджет на 2016 год</w:t>
            </w:r>
          </w:p>
        </w:tc>
      </w:tr>
      <w:tr>
        <w:trPr>
          <w:trHeight w:hRule="atLeast" w:val="555"/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vMerge w:val="continue"/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  <w:t>Налоговые доходы всего: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  <w:t>3740,0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  <w:t>2700,4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  <w:t>2870,0</w:t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налог на доходы физических лиц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1435,4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231,2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245,0</w:t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акцизы на бензин, дизельное топливо, моторные масла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1074,5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1068,5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единый сельскохозяйственный  налог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173,5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171,5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66,8</w:t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налог на имущество физических лиц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156,1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133,2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157,1</w:t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земельный налог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900,5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1095,0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2400,1</w:t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госпошлина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1,0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1,0</w:t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  <w:t>Неналоговые доходы всего: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  <w:t>500,8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  <w:t>10,0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арендная плата за земли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131,1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369,7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штрафы, санкции и возмещение ущерба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10,0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  <w:t>Безвозмездные поступления всего: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213,3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207,4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226,8</w:t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bCs/>
                <w:rFonts w:ascii="Times New Roman" w:hAnsi="Times New Roman"/>
                <w:lang w:eastAsia="ru-RU"/>
              </w:rPr>
              <w:t>в том числе</w:t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bCs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bCs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bCs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322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Borders>
              <w:left w:color="00000A" w:space="0" w:sz="4" w:val="single"/>
              <w:bottom w:color="000001" w:space="0" w:sz="4" w:val="single"/>
              <w:right w:color="00000A" w:space="0" w:sz="4" w:val="single"/>
            </w:tcBorders>
            <w:vMerge w:val="restart"/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59,3</w:t>
            </w:r>
          </w:p>
        </w:tc>
        <w:tc>
          <w:tcPr>
            <w:tcBorders>
              <w:left w:color="00000A" w:space="0" w:sz="4" w:val="single"/>
              <w:bottom w:color="000001" w:space="0" w:sz="4" w:val="single"/>
              <w:right w:color="00000A" w:space="0" w:sz="4" w:val="single"/>
            </w:tcBorders>
            <w:vMerge w:val="restart"/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62,5</w:t>
            </w:r>
          </w:p>
        </w:tc>
        <w:tc>
          <w:tcPr>
            <w:tcBorders>
              <w:left w:color="00000A" w:space="0" w:sz="4" w:val="single"/>
              <w:bottom w:color="000001" w:space="0" w:sz="4" w:val="single"/>
              <w:right w:color="00000A" w:space="0" w:sz="4" w:val="single"/>
            </w:tcBorders>
            <w:vMerge w:val="restart"/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66,8</w:t>
            </w:r>
          </w:p>
        </w:tc>
      </w:tr>
      <w:tr>
        <w:trPr>
          <w:trHeight w:hRule="atLeast" w:val="322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left w:color="00000A" w:space="0" w:sz="4" w:val="single"/>
              <w:bottom w:color="000001" w:space="0" w:sz="4" w:val="single"/>
              <w:right w:color="00000A" w:space="0" w:sz="4" w:val="single"/>
            </w:tcBorders>
            <w:vMerge w:val="continue"/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left w:color="00000A" w:space="0" w:sz="4" w:val="single"/>
              <w:bottom w:color="000001" w:space="0" w:sz="4" w:val="single"/>
              <w:right w:color="00000A" w:space="0" w:sz="4" w:val="single"/>
            </w:tcBorders>
            <w:vMerge w:val="continue"/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left w:color="00000A" w:space="0" w:sz="4" w:val="single"/>
              <w:bottom w:color="000001" w:space="0" w:sz="4" w:val="single"/>
              <w:right w:color="00000A" w:space="0" w:sz="4" w:val="single"/>
            </w:tcBorders>
            <w:vMerge w:val="continue"/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322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322"/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154,0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144,9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restart"/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160,0</w:t>
            </w:r>
          </w:p>
        </w:tc>
      </w:tr>
      <w:tr>
        <w:trPr>
          <w:trHeight w:hRule="atLeast" w:val="322"/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322"/>
          <w:cantSplit w:val="off"/>
        </w:trPr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left w:color="00000A" w:space="0" w:sz="4" w:val="single"/>
              <w:bottom w:color="00000A" w:space="0" w:sz="4" w:val="single"/>
              <w:right w:color="00000A" w:space="0" w:sz="4" w:val="single"/>
            </w:tcBorders>
            <w:vMerge w:val="continue"/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  <w:t>иные межбюджетные трансферты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color w:val="000000"/>
                <w:sz w:val="28"/>
                <w:szCs w:val="28"/>
                <w:rFonts w:ascii="Times New Roman" w:hAnsi="Times New Roman"/>
                <w:lang w:eastAsia="ru-RU"/>
              </w:rPr>
            </w:r>
          </w:p>
        </w:tc>
      </w:tr>
      <w:tr>
        <w:trPr>
          <w:trHeight w:hRule="atLeast" w:val="240"/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436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color w:val="000000"/>
                <w:sz w:val="28"/>
                <w:b/>
                <w:szCs w:val="28"/>
                <w:bCs/>
                <w:rFonts w:ascii="Times New Roman" w:hAnsi="Times New Roman"/>
                <w:lang w:eastAsia="ru-RU"/>
              </w:rPr>
              <w:t>Итого доходов: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612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4454,1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78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2917,8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9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3096,8</w:t>
            </w:r>
          </w:p>
        </w:tc>
      </w:tr>
    </w:tbl>
    <w:p>
      <w:pPr>
        <w:pStyle w:val="style0"/>
        <w:tabs>
          <w:tab w:leader="none" w:pos="4020" w:val="left"/>
          <w:tab w:leader="none" w:pos="4677" w:val="center"/>
        </w:tabs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tabs>
          <w:tab w:leader="none" w:pos="4020" w:val="left"/>
          <w:tab w:leader="none" w:pos="4677" w:val="center"/>
        </w:tabs>
        <w:spacing w:line="10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</w:rPr>
        <w:t>Структура доходов</w:t>
      </w:r>
      <w:r>
        <w:rPr>
          <w:sz w:val="32"/>
          <w:b/>
          <w:szCs w:val="32"/>
          <w:rFonts w:ascii="Times New Roman" w:hAnsi="Times New Roman"/>
        </w:rPr>
        <w:t xml:space="preserve"> </w:t>
      </w:r>
    </w:p>
    <w:p>
      <w:pPr>
        <w:pStyle w:val="style0"/>
        <w:spacing w:line="100" w:lineRule="atLeast"/>
      </w:pPr>
      <w:r>
        <w:rPr>
          <w:sz w:val="28"/>
          <w:b/>
          <w:szCs w:val="28"/>
          <w:rFonts w:ascii="Times New Roman" w:hAnsi="Times New Roman"/>
        </w:rPr>
        <w:t>В 2014 году доходы составили – 4454,1 тыс. руб.</w:t>
      </w:r>
    </w:p>
    <w:p>
      <w:pPr>
        <w:pStyle w:val="style0"/>
        <w:spacing w:line="100" w:lineRule="atLeast"/>
      </w:pPr>
      <w:r>
        <w:rPr>
          <w:sz w:val="32"/>
          <w:b/>
          <w:szCs w:val="32"/>
          <w:rFonts w:ascii="Times New Roman" w:hAnsi="Times New Roman"/>
        </w:rPr>
      </w:r>
    </w:p>
    <w:p>
      <w:pPr>
        <w:pStyle w:val="style0"/>
        <w:spacing w:line="100" w:lineRule="atLeast"/>
      </w:pPr>
      <w:r>
        <w:rPr>
          <w:sz w:val="32"/>
          <w:b/>
          <w:szCs w:val="32"/>
          <w:rFonts w:ascii="Times New Roman" w:hAnsi="Times New Roman"/>
        </w:rPr>
      </w:r>
    </w:p>
    <w:p>
      <w:pPr>
        <w:pStyle w:val="style0"/>
        <w:spacing w:line="100" w:lineRule="atLeast"/>
      </w:pPr>
      <w:r>
        <w:rPr>
          <w:sz w:val="28"/>
          <w:b/>
          <w:szCs w:val="28"/>
          <w:rFonts w:ascii="Times New Roman" w:hAnsi="Times New Roman"/>
        </w:rPr>
        <w:t>План доходов в 2015 году составил – 2917,8 тыс. руб.</w:t>
      </w:r>
    </w:p>
    <w:p>
      <w:pPr>
        <w:pStyle w:val="style0"/>
        <w:spacing w:line="100" w:lineRule="atLeast"/>
      </w:pPr>
      <w:r>
        <w:rPr>
          <w:sz w:val="28"/>
          <w:b/>
          <w:szCs w:val="28"/>
          <w:rFonts w:ascii="Times New Roman" w:hAnsi="Times New Roman"/>
        </w:rPr>
        <w:t xml:space="preserve">    </w:t>
      </w:r>
    </w:p>
    <w:p>
      <w:pPr>
        <w:pStyle w:val="style0"/>
        <w:spacing w:line="100" w:lineRule="atLeast"/>
      </w:pPr>
      <w:r>
        <w:rPr>
          <w:sz w:val="28"/>
          <w:b/>
          <w:szCs w:val="28"/>
          <w:rFonts w:ascii="Times New Roman" w:hAnsi="Times New Roman"/>
        </w:rPr>
      </w:r>
    </w:p>
    <w:p>
      <w:pPr>
        <w:pStyle w:val="style0"/>
        <w:spacing w:line="100" w:lineRule="atLeast"/>
      </w:pPr>
      <w:r>
        <w:rPr>
          <w:sz w:val="28"/>
          <w:b/>
          <w:szCs w:val="28"/>
          <w:rFonts w:ascii="Times New Roman" w:hAnsi="Times New Roman"/>
        </w:rPr>
      </w:r>
    </w:p>
    <w:p>
      <w:pPr>
        <w:pStyle w:val="style0"/>
        <w:spacing w:line="100" w:lineRule="atLeast"/>
      </w:pPr>
      <w:r>
        <w:rPr>
          <w:sz w:val="28"/>
          <w:b/>
          <w:szCs w:val="28"/>
          <w:rFonts w:ascii="Times New Roman" w:hAnsi="Times New Roman"/>
          <w:lang w:val="en-US"/>
        </w:rPr>
      </w:r>
    </w:p>
    <w:p>
      <w:pPr>
        <w:pStyle w:val="style0"/>
        <w:spacing w:line="100" w:lineRule="atLeast"/>
      </w:pPr>
      <w:r>
        <w:rPr>
          <w:sz w:val="28"/>
          <w:b/>
          <w:szCs w:val="28"/>
          <w:rFonts w:ascii="Times New Roman" w:hAnsi="Times New Roman"/>
        </w:rPr>
      </w:r>
    </w:p>
    <w:p>
      <w:pPr>
        <w:pStyle w:val="style0"/>
        <w:spacing w:line="100" w:lineRule="atLeast"/>
      </w:pPr>
      <w:r>
        <w:rPr>
          <w:sz w:val="28"/>
          <w:b/>
          <w:szCs w:val="28"/>
          <w:rFonts w:ascii="Times New Roman" w:hAnsi="Times New Roman"/>
        </w:rPr>
        <w:t>Доходы бюджета в 2016 году составят – 3096,8 тыс. руб.</w:t>
      </w:r>
    </w:p>
    <w:p>
      <w:pPr>
        <w:pStyle w:val="style0"/>
        <w:spacing w:line="100" w:lineRule="atLeast"/>
      </w:pPr>
      <w:r>
        <w:rPr>
          <w:sz w:val="28"/>
          <w:b/>
          <w:szCs w:val="28"/>
          <w:rFonts w:ascii="Times New Roman" w:hAnsi="Times New Roman"/>
        </w:rPr>
        <w:t xml:space="preserve">    </w:t>
      </w:r>
      <w:r>
        <w:rPr>
          <w:sz w:val="28"/>
          <w:szCs w:val="28"/>
          <w:rFonts w:ascii="Times New Roman" w:hAnsi="Times New Roman"/>
        </w:rPr>
        <w:t xml:space="preserve"> </w:t>
      </w:r>
    </w:p>
    <w:p>
      <w:pPr>
        <w:pStyle w:val="style0"/>
        <w:spacing w:after="0" w:before="0" w:line="100" w:lineRule="atLeast"/>
      </w:pPr>
      <w:r>
        <w:rPr>
          <w:sz w:val="28"/>
          <w:szCs w:val="28"/>
          <w:rFonts w:ascii="Times New Roman" w:hAnsi="Times New Roman"/>
        </w:rPr>
        <w:t xml:space="preserve">     </w:t>
      </w:r>
    </w:p>
    <w:p>
      <w:pPr>
        <w:pStyle w:val="style0"/>
        <w:jc w:val="both"/>
        <w:spacing w:after="0" w:before="0"/>
      </w:pPr>
      <w:r>
        <w:rPr>
          <w:sz w:val="28"/>
          <w:szCs w:val="28"/>
          <w:rFonts w:ascii="Times New Roman" w:hAnsi="Times New Roman"/>
        </w:rPr>
        <w:t xml:space="preserve">    </w:t>
      </w:r>
      <w:r>
        <w:rPr>
          <w:sz w:val="28"/>
          <w:szCs w:val="28"/>
          <w:rFonts w:ascii="Times New Roman" w:hAnsi="Times New Roman"/>
        </w:rPr>
        <w:t>При расчете прогнозируемого объема доходов  бюджета учитывались</w:t>
      </w:r>
    </w:p>
    <w:p>
      <w:pPr>
        <w:pStyle w:val="style0"/>
        <w:jc w:val="both"/>
        <w:spacing w:after="0" w:before="0"/>
      </w:pPr>
      <w:r>
        <w:rPr>
          <w:sz w:val="28"/>
          <w:szCs w:val="28"/>
          <w:rFonts w:ascii="Times New Roman" w:hAnsi="Times New Roman"/>
        </w:rPr>
        <w:t>изменения налогового и бюджетного законодательства Российской Федерации и Саратовской области, вступающие в действие с 1 января 2016 года.</w:t>
      </w:r>
    </w:p>
    <w:p>
      <w:pPr>
        <w:pStyle w:val="style0"/>
        <w:jc w:val="both"/>
        <w:spacing w:after="0" w:before="0"/>
      </w:pPr>
      <w:r>
        <w:rPr>
          <w:sz w:val="28"/>
          <w:szCs w:val="28"/>
          <w:rFonts w:ascii="Times New Roman" w:hAnsi="Times New Roman"/>
        </w:rPr>
        <w:t xml:space="preserve">    </w:t>
      </w:r>
      <w:r>
        <w:rPr>
          <w:sz w:val="28"/>
          <w:szCs w:val="28"/>
          <w:rFonts w:ascii="Times New Roman" w:hAnsi="Times New Roman"/>
        </w:rPr>
        <w:t>Налоговые доходы бюджета муниципального образования  прогнозируются в сумме 2870,0 тыс. рублей.</w:t>
      </w:r>
    </w:p>
    <w:p>
      <w:pPr>
        <w:pStyle w:val="style0"/>
        <w:jc w:val="both"/>
        <w:spacing w:after="0" w:before="0"/>
      </w:pPr>
      <w:r>
        <w:rPr>
          <w:sz w:val="28"/>
          <w:szCs w:val="28"/>
          <w:rFonts w:ascii="Times New Roman" w:hAnsi="Times New Roman"/>
        </w:rPr>
        <w:t xml:space="preserve">    </w:t>
      </w:r>
      <w:r>
        <w:rPr>
          <w:sz w:val="28"/>
          <w:szCs w:val="28"/>
          <w:rFonts w:ascii="Times New Roman" w:hAnsi="Times New Roman"/>
        </w:rPr>
        <w:t>Основными бюджетообразующими доходами бюджета муниципального образования  являются земельный налог, налог на доходы физических лиц и налог на имущество физических лиц.</w:t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</w:rPr>
        <w:t>РАСХОДЫ.</w:t>
      </w:r>
    </w:p>
    <w:p>
      <w:pPr>
        <w:pStyle w:val="style0"/>
        <w:jc w:val="center"/>
        <w:spacing w:line="100" w:lineRule="atLeast"/>
      </w:pPr>
      <w:r>
        <w:rPr>
          <w:sz w:val="32"/>
          <w:b/>
          <w:shd w:fill="FFFF00"/>
          <w:szCs w:val="32"/>
          <w:rFonts w:ascii="Times New Roman" w:hAnsi="Times New Roman"/>
        </w:rPr>
        <w:t>Расходы бюджета – выплачиваемые из бюджета денежные средства.</w:t>
      </w:r>
    </w:p>
    <w:p>
      <w:pPr>
        <w:pStyle w:val="style0"/>
        <w:jc w:val="center"/>
        <w:spacing w:line="100" w:lineRule="atLeast"/>
      </w:pPr>
      <w:r>
        <w:rPr>
          <w:sz w:val="32"/>
          <w:b/>
          <w:szCs w:val="32"/>
          <w:rFonts w:ascii="Times New Roman" w:hAnsi="Times New Roman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zCs w:val="32"/>
          <w:rFonts w:ascii="Times New Roman" w:hAnsi="Times New Roman"/>
        </w:rPr>
        <w:t>В каких единицах измеряются параметры бюджетов</w:t>
      </w:r>
    </w:p>
    <w:p>
      <w:pPr>
        <w:pStyle w:val="style0"/>
        <w:jc w:val="center"/>
        <w:spacing w:line="100" w:lineRule="atLeast"/>
      </w:pPr>
      <w:r>
        <w:rPr/>
        <w:drawing>
          <wp:inline distB="0" distL="0" distR="0" distT="0">
            <wp:extent cx="6248400" cy="22860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line="100" w:lineRule="atLeast"/>
      </w:pPr>
      <w:r>
        <w:rPr>
          <w:sz w:val="32"/>
          <w:b/>
          <w:szCs w:val="32"/>
          <w:rFonts w:ascii="Times New Roman" w:hAnsi="Times New Roman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zCs w:val="32"/>
          <w:rFonts w:ascii="Times New Roman" w:hAnsi="Times New Roman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zCs w:val="32"/>
          <w:rFonts w:ascii="Times New Roman" w:hAnsi="Times New Roman"/>
        </w:rPr>
        <w:t>Расходы по основным функциям бюджета муниципального образования.</w:t>
      </w:r>
    </w:p>
    <w:p>
      <w:pPr>
        <w:pStyle w:val="style0"/>
        <w:jc w:val="center"/>
        <w:spacing w:line="100" w:lineRule="atLeast"/>
      </w:pPr>
      <w:r>
        <w:rPr/>
        <w:drawing>
          <wp:inline distB="0" distL="0" distR="0" distT="0">
            <wp:extent cx="6295390" cy="22288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spacing w:line="100" w:lineRule="atLeast"/>
      </w:pPr>
      <w:r>
        <w:rPr>
          <w:sz w:val="32"/>
          <w:b/>
          <w:szCs w:val="32"/>
          <w:rFonts w:ascii="Times New Roman" w:hAnsi="Times New Roman"/>
        </w:rPr>
        <w:t>Структура расходов бюджета Знаменского муниципального образования по разделам в 2014-2016 годах.</w:t>
      </w:r>
    </w:p>
    <w:p>
      <w:pPr>
        <w:pStyle w:val="style0"/>
        <w:jc w:val="center"/>
        <w:spacing w:line="100" w:lineRule="atLeast"/>
      </w:pPr>
      <w:r>
        <w:rPr>
          <w:sz w:val="32"/>
          <w:b/>
          <w:szCs w:val="32"/>
          <w:rFonts w:ascii="Times New Roman" w:hAnsi="Times New Roman"/>
        </w:rPr>
        <w:tab/>
        <w:tab/>
        <w:tab/>
        <w:tab/>
        <w:tab/>
        <w:tab/>
        <w:tab/>
        <w:tab/>
        <w:tab/>
      </w:r>
      <w:r>
        <w:rPr>
          <w:sz w:val="28"/>
          <w:szCs w:val="28"/>
          <w:rFonts w:ascii="Times New Roman" w:hAnsi="Times New Roman"/>
        </w:rPr>
        <w:tab/>
        <w:tab/>
        <w:tab/>
        <w:tab/>
        <w:t>%</w:t>
      </w:r>
    </w:p>
    <w:tbl>
      <w:tblPr>
        <w:tblBorders/>
        <w:jc w:val="left"/>
        <w:tblInd w:type="dxa" w:w="-108"/>
      </w:tblPr>
      <w:tblGrid>
        <w:gridCol w:w="1062"/>
        <w:gridCol w:w="7247"/>
        <w:gridCol w:w="8288"/>
        <w:gridCol w:w="9192"/>
        <w:gridCol w:w="10099"/>
      </w:tblGrid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Раздел</w:t>
            </w:r>
          </w:p>
        </w:tc>
        <w:tc>
          <w:tcPr>
            <w:tcBorders/>
            <w:shd w:fill="auto"/>
            <w:tcW w:type="dxa" w:w="724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Наименование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2014г</w:t>
            </w:r>
          </w:p>
        </w:tc>
        <w:tc>
          <w:tcPr>
            <w:tcBorders/>
            <w:shd w:fill="auto"/>
            <w:tcW w:type="dxa" w:w="91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2015г</w:t>
            </w:r>
          </w:p>
        </w:tc>
        <w:tc>
          <w:tcPr>
            <w:tcBorders/>
            <w:shd w:fill="auto"/>
            <w:tcW w:type="dxa" w:w="10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2016г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</w:r>
          </w:p>
        </w:tc>
        <w:tc>
          <w:tcPr>
            <w:tcBorders/>
            <w:shd w:fill="auto"/>
            <w:tcW w:type="dxa" w:w="724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Всего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100</w:t>
            </w:r>
          </w:p>
        </w:tc>
        <w:tc>
          <w:tcPr>
            <w:tcBorders/>
            <w:shd w:fill="auto"/>
            <w:tcW w:type="dxa" w:w="91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100</w:t>
            </w:r>
          </w:p>
        </w:tc>
        <w:tc>
          <w:tcPr>
            <w:tcBorders/>
            <w:shd w:fill="auto"/>
            <w:tcW w:type="dxa" w:w="10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100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01</w:t>
            </w:r>
          </w:p>
        </w:tc>
        <w:tc>
          <w:tcPr>
            <w:tcBorders/>
            <w:shd w:fill="auto"/>
            <w:tcW w:type="dxa" w:w="724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Общегосударственные вопросы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52,7</w:t>
            </w:r>
          </w:p>
        </w:tc>
        <w:tc>
          <w:tcPr>
            <w:tcBorders/>
            <w:shd w:fill="auto"/>
            <w:tcW w:type="dxa" w:w="91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42,0</w:t>
            </w:r>
          </w:p>
        </w:tc>
        <w:tc>
          <w:tcPr>
            <w:tcBorders/>
            <w:shd w:fill="auto"/>
            <w:tcW w:type="dxa" w:w="10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60,6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02</w:t>
            </w:r>
          </w:p>
        </w:tc>
        <w:tc>
          <w:tcPr>
            <w:tcBorders/>
            <w:shd w:fill="auto"/>
            <w:tcW w:type="dxa" w:w="724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Национальная оборона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4,3</w:t>
            </w:r>
          </w:p>
        </w:tc>
        <w:tc>
          <w:tcPr>
            <w:tcBorders/>
            <w:shd w:fill="auto"/>
            <w:tcW w:type="dxa" w:w="91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3,6</w:t>
            </w:r>
          </w:p>
        </w:tc>
        <w:tc>
          <w:tcPr>
            <w:tcBorders/>
            <w:shd w:fill="auto"/>
            <w:tcW w:type="dxa" w:w="10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5,2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04</w:t>
            </w:r>
          </w:p>
        </w:tc>
        <w:tc>
          <w:tcPr>
            <w:tcBorders/>
            <w:shd w:fill="auto"/>
            <w:tcW w:type="dxa" w:w="724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Национальная экономика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30,4</w:t>
            </w:r>
          </w:p>
        </w:tc>
        <w:tc>
          <w:tcPr>
            <w:tcBorders/>
            <w:shd w:fill="auto"/>
            <w:tcW w:type="dxa" w:w="91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27,6</w:t>
            </w:r>
          </w:p>
        </w:tc>
        <w:tc>
          <w:tcPr>
            <w:tcBorders/>
            <w:shd w:fill="auto"/>
            <w:tcW w:type="dxa" w:w="10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05</w:t>
            </w:r>
          </w:p>
        </w:tc>
        <w:tc>
          <w:tcPr>
            <w:tcBorders/>
            <w:shd w:fill="auto"/>
            <w:tcW w:type="dxa" w:w="724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Жилищно-коммунальное хозяйство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11,3</w:t>
            </w:r>
          </w:p>
        </w:tc>
        <w:tc>
          <w:tcPr>
            <w:tcBorders/>
            <w:shd w:fill="auto"/>
            <w:tcW w:type="dxa" w:w="91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24,3</w:t>
            </w:r>
          </w:p>
        </w:tc>
        <w:tc>
          <w:tcPr>
            <w:tcBorders/>
            <w:shd w:fill="auto"/>
            <w:tcW w:type="dxa" w:w="10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30,0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06</w:t>
            </w:r>
          </w:p>
        </w:tc>
        <w:tc>
          <w:tcPr>
            <w:tcBorders/>
            <w:shd w:fill="auto"/>
            <w:tcW w:type="dxa" w:w="724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Культура и кинематография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</w:r>
          </w:p>
        </w:tc>
        <w:tc>
          <w:tcPr>
            <w:tcBorders/>
            <w:shd w:fill="auto"/>
            <w:tcW w:type="dxa" w:w="91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1,0</w:t>
            </w:r>
          </w:p>
        </w:tc>
        <w:tc>
          <w:tcPr>
            <w:tcBorders/>
            <w:shd w:fill="auto"/>
            <w:tcW w:type="dxa" w:w="10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10</w:t>
            </w:r>
          </w:p>
        </w:tc>
        <w:tc>
          <w:tcPr>
            <w:tcBorders/>
            <w:shd w:fill="auto"/>
            <w:tcW w:type="dxa" w:w="724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Социальная политика</w:t>
            </w:r>
          </w:p>
        </w:tc>
        <w:tc>
          <w:tcPr>
            <w:tcBorders/>
            <w:shd w:fill="auto"/>
            <w:tcW w:type="dxa" w:w="828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1,3</w:t>
            </w:r>
          </w:p>
        </w:tc>
        <w:tc>
          <w:tcPr>
            <w:tcBorders/>
            <w:shd w:fill="auto"/>
            <w:tcW w:type="dxa" w:w="919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1,5</w:t>
            </w:r>
          </w:p>
        </w:tc>
        <w:tc>
          <w:tcPr>
            <w:tcBorders/>
            <w:shd w:fill="auto"/>
            <w:tcW w:type="dxa" w:w="1009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3,6</w:t>
            </w:r>
          </w:p>
        </w:tc>
      </w:tr>
    </w:tbl>
    <w:p>
      <w:pPr>
        <w:pStyle w:val="style0"/>
        <w:jc w:val="center"/>
        <w:spacing w:line="100" w:lineRule="atLeast"/>
      </w:pPr>
      <w:r>
        <w:rPr>
          <w:sz w:val="32"/>
          <w:szCs w:val="32"/>
          <w:rFonts w:ascii="Times New Roman" w:hAnsi="Times New Roman"/>
        </w:rPr>
        <w:tab/>
      </w:r>
    </w:p>
    <w:p>
      <w:pPr>
        <w:pStyle w:val="style0"/>
        <w:jc w:val="center"/>
        <w:spacing w:line="100" w:lineRule="atLeast"/>
      </w:pPr>
      <w:r>
        <w:rPr>
          <w:sz w:val="32"/>
          <w:b/>
          <w:szCs w:val="32"/>
          <w:rFonts w:ascii="Times New Roman" w:hAnsi="Times New Roman"/>
          <w:lang w:val="en-US"/>
        </w:rPr>
      </w:r>
    </w:p>
    <w:p>
      <w:pPr>
        <w:pStyle w:val="style0"/>
        <w:jc w:val="center"/>
        <w:spacing w:line="100" w:lineRule="atLeast"/>
      </w:pPr>
      <w:r>
        <w:rPr>
          <w:sz w:val="32"/>
          <w:b/>
          <w:szCs w:val="32"/>
          <w:rFonts w:ascii="Times New Roman" w:hAnsi="Times New Roman"/>
        </w:rPr>
        <w:t>Расходы бюджета Знаменского муниципального образования по основным разделам на душу населения</w:t>
      </w:r>
    </w:p>
    <w:p>
      <w:pPr>
        <w:pStyle w:val="style0"/>
        <w:jc w:val="right"/>
        <w:spacing w:line="100" w:lineRule="atLeast"/>
      </w:pPr>
      <w:r>
        <w:rPr>
          <w:sz w:val="32"/>
          <w:szCs w:val="32"/>
          <w:rFonts w:ascii="Times New Roman" w:hAnsi="Times New Roman"/>
        </w:rPr>
        <w:t>руб.</w:t>
        <w:tab/>
      </w:r>
    </w:p>
    <w:tbl>
      <w:tblPr>
        <w:tblBorders/>
        <w:jc w:val="left"/>
        <w:tblInd w:type="dxa" w:w="-108"/>
      </w:tblPr>
      <w:tblGrid>
        <w:gridCol w:w="1062"/>
        <w:gridCol w:w="7178"/>
        <w:gridCol w:w="8163"/>
        <w:gridCol w:w="9148"/>
        <w:gridCol w:w="10137"/>
      </w:tblGrid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Раздел</w:t>
            </w:r>
          </w:p>
        </w:tc>
        <w:tc>
          <w:tcPr>
            <w:tcBorders/>
            <w:shd w:fill="auto"/>
            <w:tcW w:type="dxa" w:w="71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Показатель</w:t>
            </w:r>
          </w:p>
        </w:tc>
        <w:tc>
          <w:tcPr>
            <w:tcBorders/>
            <w:shd w:fill="auto"/>
            <w:tcW w:type="dxa" w:w="816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2014г</w:t>
            </w:r>
          </w:p>
        </w:tc>
        <w:tc>
          <w:tcPr>
            <w:tcBorders/>
            <w:shd w:fill="auto"/>
            <w:tcW w:type="dxa" w:w="91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2015г</w:t>
            </w:r>
          </w:p>
        </w:tc>
        <w:tc>
          <w:tcPr>
            <w:tcBorders/>
            <w:shd w:fill="auto"/>
            <w:tcW w:type="dxa" w:w="101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2016г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05</w:t>
            </w:r>
          </w:p>
        </w:tc>
        <w:tc>
          <w:tcPr>
            <w:tcBorders/>
            <w:shd w:fill="auto"/>
            <w:tcW w:type="dxa" w:w="71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Жилищно-коммунальное хозяйство</w:t>
            </w:r>
          </w:p>
        </w:tc>
        <w:tc>
          <w:tcPr>
            <w:tcBorders/>
            <w:shd w:fill="auto"/>
            <w:tcW w:type="dxa" w:w="816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248,0</w:t>
            </w:r>
          </w:p>
        </w:tc>
        <w:tc>
          <w:tcPr>
            <w:tcBorders/>
            <w:shd w:fill="auto"/>
            <w:tcW w:type="dxa" w:w="91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591,6</w:t>
            </w:r>
          </w:p>
        </w:tc>
        <w:tc>
          <w:tcPr>
            <w:tcBorders/>
            <w:shd w:fill="auto"/>
            <w:tcW w:type="dxa" w:w="101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567,2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08</w:t>
            </w:r>
          </w:p>
        </w:tc>
        <w:tc>
          <w:tcPr>
            <w:tcBorders/>
            <w:shd w:fill="auto"/>
            <w:tcW w:type="dxa" w:w="71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Культура, кинематография</w:t>
            </w:r>
          </w:p>
        </w:tc>
        <w:tc>
          <w:tcPr>
            <w:tcBorders/>
            <w:shd w:fill="auto"/>
            <w:tcW w:type="dxa" w:w="816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0,8</w:t>
            </w:r>
          </w:p>
        </w:tc>
        <w:tc>
          <w:tcPr>
            <w:tcBorders/>
            <w:shd w:fill="auto"/>
            <w:tcW w:type="dxa" w:w="91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25,1</w:t>
            </w:r>
          </w:p>
        </w:tc>
        <w:tc>
          <w:tcPr>
            <w:tcBorders/>
            <w:shd w:fill="auto"/>
            <w:tcW w:type="dxa" w:w="101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3,1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10</w:t>
            </w:r>
          </w:p>
        </w:tc>
        <w:tc>
          <w:tcPr>
            <w:tcBorders/>
            <w:shd w:fill="auto"/>
            <w:tcW w:type="dxa" w:w="71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Социальная политика</w:t>
            </w:r>
          </w:p>
        </w:tc>
        <w:tc>
          <w:tcPr>
            <w:tcBorders/>
            <w:shd w:fill="auto"/>
            <w:tcW w:type="dxa" w:w="816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28,5</w:t>
            </w:r>
          </w:p>
        </w:tc>
        <w:tc>
          <w:tcPr>
            <w:tcBorders/>
            <w:shd w:fill="auto"/>
            <w:tcW w:type="dxa" w:w="91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31,8</w:t>
            </w:r>
          </w:p>
        </w:tc>
        <w:tc>
          <w:tcPr>
            <w:tcBorders/>
            <w:shd w:fill="auto"/>
            <w:tcW w:type="dxa" w:w="101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68,4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01</w:t>
            </w:r>
          </w:p>
        </w:tc>
        <w:tc>
          <w:tcPr>
            <w:tcBorders/>
            <w:shd w:fill="auto"/>
            <w:tcW w:type="dxa" w:w="71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Содержание работников органов местного самоуправления</w:t>
            </w:r>
          </w:p>
        </w:tc>
        <w:tc>
          <w:tcPr>
            <w:tcBorders/>
            <w:shd w:fill="auto"/>
            <w:tcW w:type="dxa" w:w="816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940,8</w:t>
            </w:r>
          </w:p>
        </w:tc>
        <w:tc>
          <w:tcPr>
            <w:tcBorders/>
            <w:shd w:fill="auto"/>
            <w:tcW w:type="dxa" w:w="91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1020,4</w:t>
            </w:r>
          </w:p>
        </w:tc>
        <w:tc>
          <w:tcPr>
            <w:tcBorders/>
            <w:shd w:fill="auto"/>
            <w:tcW w:type="dxa" w:w="101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szCs w:val="28"/>
                <w:rFonts w:ascii="Times New Roman" w:hAnsi="Times New Roman"/>
              </w:rPr>
              <w:t>1147,2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106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</w:r>
          </w:p>
        </w:tc>
        <w:tc>
          <w:tcPr>
            <w:tcBorders/>
            <w:shd w:fill="auto"/>
            <w:tcW w:type="dxa" w:w="71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Итого расходы местного бюджета</w:t>
            </w:r>
          </w:p>
        </w:tc>
        <w:tc>
          <w:tcPr>
            <w:tcBorders/>
            <w:shd w:fill="auto"/>
            <w:tcW w:type="dxa" w:w="816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2201,6</w:t>
            </w:r>
          </w:p>
        </w:tc>
        <w:tc>
          <w:tcPr>
            <w:tcBorders/>
            <w:shd w:fill="auto"/>
            <w:tcW w:type="dxa" w:w="914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2428,9</w:t>
            </w:r>
          </w:p>
        </w:tc>
        <w:tc>
          <w:tcPr>
            <w:tcBorders/>
            <w:shd w:fill="auto"/>
            <w:tcW w:type="dxa" w:w="101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8"/>
                <w:b/>
                <w:szCs w:val="28"/>
                <w:rFonts w:ascii="Times New Roman" w:hAnsi="Times New Roman"/>
              </w:rPr>
              <w:t>1892,9</w:t>
            </w:r>
          </w:p>
        </w:tc>
      </w:tr>
    </w:tbl>
    <w:p>
      <w:pPr>
        <w:pStyle w:val="style0"/>
        <w:jc w:val="center"/>
        <w:spacing w:line="100" w:lineRule="atLeast"/>
      </w:pPr>
      <w:r>
        <w:rPr>
          <w:sz w:val="28"/>
          <w:b/>
          <w:szCs w:val="28"/>
          <w:rFonts w:ascii="Times New Roman" w:hAnsi="Times New Roman"/>
          <w:lang w:val="en-US"/>
        </w:rPr>
      </w:r>
    </w:p>
    <w:p>
      <w:pPr>
        <w:pStyle w:val="style0"/>
        <w:jc w:val="center"/>
        <w:spacing w:line="100" w:lineRule="atLeast"/>
      </w:pPr>
      <w:r>
        <w:rPr>
          <w:sz w:val="28"/>
          <w:b/>
          <w:szCs w:val="28"/>
          <w:rFonts w:ascii="Times New Roman" w:hAnsi="Times New Roman"/>
          <w:lang w:val="en-US"/>
        </w:rPr>
      </w:r>
    </w:p>
    <w:p>
      <w:pPr>
        <w:pStyle w:val="style0"/>
      </w:pPr>
      <w:r>
        <w:rPr>
          <w:sz w:val="24"/>
          <w:szCs w:val="24"/>
        </w:rPr>
      </w:r>
    </w:p>
    <w:p>
      <w:pPr>
        <w:pStyle w:val="style0"/>
        <w:pBdr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</w:pBdr>
        <w:framePr w:h="401" w:hAnchor="margin" w:hRule="exact" w:hSpace="114" w:vAnchor="margin" w:vSpace="114" w:w="1170" w:wrap="around" w:x="7849" w:y="0"/>
      </w:pPr>
      <w:r>
        <w:rPr>
          <w:sz w:val="24"/>
          <w:szCs w:val="24"/>
          <w:rFonts w:ascii="Times New Roman" w:hAnsi="Times New Roman"/>
        </w:rPr>
        <w:t>Руб.</w:t>
      </w:r>
    </w:p>
    <w:p>
      <w:pPr>
        <w:pStyle w:val="style25"/>
        <w:pBdr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</w:pBdr>
        <w:framePr w:h="401" w:hAnchor="margin" w:hRule="exact" w:hSpace="114" w:vAnchor="margin" w:vSpace="114" w:w="1170" w:wrap="around" w:x="7849" w:y="0"/>
        <w:spacing w:after="120" w:before="0"/>
      </w:pPr>
      <w:r>
        <w:rPr/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 xml:space="preserve">Расходы бюджета Знаменского муниципального образования запланированы на 2016 год в сумме </w:t>
      </w:r>
      <w:r>
        <w:rPr>
          <w:sz w:val="26"/>
          <w:b/>
          <w:szCs w:val="26"/>
          <w:bCs/>
          <w:rFonts w:ascii="Times New Roman" w:hAnsi="Times New Roman"/>
        </w:rPr>
        <w:t xml:space="preserve"> </w:t>
      </w:r>
      <w:r>
        <w:rPr>
          <w:sz w:val="26"/>
          <w:szCs w:val="26"/>
          <w:bCs/>
          <w:rFonts w:ascii="Times New Roman" w:hAnsi="Times New Roman"/>
        </w:rPr>
        <w:t>3096,8</w:t>
      </w:r>
      <w:r>
        <w:rPr>
          <w:sz w:val="26"/>
          <w:b/>
          <w:szCs w:val="26"/>
          <w:bCs/>
          <w:rFonts w:ascii="Times New Roman" w:hAnsi="Times New Roman"/>
        </w:rPr>
        <w:t xml:space="preserve"> </w:t>
      </w:r>
      <w:r>
        <w:rPr>
          <w:sz w:val="28"/>
          <w:szCs w:val="28"/>
          <w:rFonts w:ascii="Times New Roman" w:hAnsi="Times New Roman"/>
        </w:rPr>
        <w:t xml:space="preserve">тыс. руб., что ниже плановых расходов на 2015 год  на 876,9 тыс. руб. Общий объем и структура расходов представлена в следующей форме:  </w:t>
        <w:tab/>
      </w:r>
    </w:p>
    <w:p>
      <w:pPr>
        <w:pStyle w:val="style0"/>
        <w:jc w:val="both"/>
        <w:ind w:firstLine="708" w:left="0" w:right="0"/>
        <w:spacing w:line="100" w:lineRule="atLeast"/>
      </w:pPr>
      <w:r>
        <w:rPr>
          <w:sz w:val="28"/>
          <w:szCs w:val="28"/>
          <w:rFonts w:ascii="Times New Roman" w:hAnsi="Times New Roman"/>
        </w:rPr>
        <w:tab/>
        <w:tab/>
        <w:tab/>
        <w:tab/>
        <w:tab/>
        <w:tab/>
        <w:tab/>
        <w:tab/>
        <w:tab/>
        <w:tab/>
      </w:r>
      <w:r>
        <w:rPr>
          <w:sz w:val="28"/>
          <w:szCs w:val="28"/>
        </w:rPr>
        <w:tab/>
        <w:t>тыс. руб.</w:t>
        <w:tab/>
      </w:r>
    </w:p>
    <w:tbl>
      <w:tblPr>
        <w:tblBorders/>
        <w:jc w:val="left"/>
        <w:tblInd w:type="dxa" w:w="-108"/>
      </w:tblPr>
      <w:tblGrid>
        <w:gridCol w:w="4502"/>
        <w:gridCol w:w="6061"/>
        <w:gridCol w:w="7477"/>
        <w:gridCol w:w="8753"/>
        <w:gridCol w:w="10167"/>
      </w:tblGrid>
      <w:tr>
        <w:trPr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b/>
                <w:szCs w:val="26"/>
                <w:rFonts w:ascii="Times New Roman" w:hAnsi="Times New Roman"/>
              </w:rPr>
              <w:t>Расходы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b/>
                <w:szCs w:val="26"/>
                <w:rFonts w:ascii="Times New Roman" w:hAnsi="Times New Roman"/>
              </w:rPr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b/>
                <w:szCs w:val="26"/>
                <w:rFonts w:ascii="Times New Roman" w:hAnsi="Times New Roman"/>
              </w:rPr>
              <w:t>2014 год</w:t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b/>
                <w:szCs w:val="26"/>
                <w:rFonts w:ascii="Times New Roman" w:hAnsi="Times New Roman"/>
              </w:rPr>
              <w:t>2015 год</w:t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b/>
                <w:szCs w:val="26"/>
                <w:rFonts w:ascii="Times New Roman" w:hAnsi="Times New Roman"/>
              </w:rPr>
              <w:t>2016 год</w:t>
            </w:r>
          </w:p>
        </w:tc>
      </w:tr>
      <w:tr>
        <w:trPr>
          <w:trHeight w:hRule="atLeast" w:val="1046"/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line="100" w:lineRule="atLeast"/>
            </w:pPr>
            <w:r>
              <w:rPr>
                <w:sz w:val="26"/>
                <w:szCs w:val="26"/>
              </w:rPr>
              <w:t>Общегосударственные</w:t>
            </w:r>
          </w:p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szCs w:val="26"/>
              </w:rPr>
              <w:t>вопросы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pict>
                <v:shapetype id="shapetype_75" coordsize="21600,21600" o:spt="75" adj="2700" path="m,l21600,l21600,21600l,21600xm@0@0l@0@2l@1@2l@1@0xe">
                  <v:stroke joinstyle="miter"/>
                  <v:formulas>
                    <v:f eqn="val #0"/>
                    <v:f eqn="sum width 0 @0"/>
                    <v:f eqn="sum height 0 @0"/>
                  </v:formulas>
                  <v:path gradientshapeok="t" o:connecttype="rect" textboxrect="@0,@0,@1,@2"/>
                  <v:handles>
                    <v:h position="@0,0"/>
                  </v:handles>
                </v:shapetype>
                <v:shape id="shape_253531464" style="position:absolute;margin-left:0pt;margin-top:0pt;width:52.45pt;height:38.95pt" type="shapetype_75">
                  <w10:wrap w10:type="none"/>
                  <v:fill detectmouseclick="t"/>
                  <v:stroke color="black" joinstyle="round"/>
                </v:shape>
              </w:pict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line="100" w:lineRule="atLeast"/>
            </w:pPr>
            <w:r>
              <w:rPr>
                <w:sz w:val="26"/>
                <w:szCs w:val="26"/>
              </w:rPr>
            </w:r>
          </w:p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1890,1</w:t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line="100" w:lineRule="atLeast"/>
            </w:pPr>
            <w:r>
              <w:rPr>
                <w:sz w:val="26"/>
                <w:szCs w:val="26"/>
              </w:rPr>
            </w:r>
          </w:p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1669,3</w:t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1876,9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pict>
                <v:shape id="shape_253531465" style="position:absolute;margin-left:0pt;margin-top:0pt;width:50.95pt;height:41.2pt" type="shapetype_75">
                  <w10:wrap w10:type="none"/>
                  <v:fill detectmouseclick="t"/>
                  <v:stroke color="black" joinstyle="round"/>
                </v:shape>
              </w:pict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154,0</w:t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line="100" w:lineRule="atLeast"/>
            </w:pPr>
            <w:r>
              <w:rPr>
                <w:sz w:val="26"/>
                <w:szCs w:val="26"/>
              </w:rPr>
            </w:r>
          </w:p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144,9</w:t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160,0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pict>
                <v:shape id="shape_253531466" style="position:absolute;margin-left:0pt;margin-top:0pt;width:47.95pt;height:42.7pt" type="shapetype_75">
                  <w10:wrap w10:type="none"/>
                  <v:fill detectmouseclick="t"/>
                  <v:stroke color="black" joinstyle="round"/>
                </v:shape>
              </w:pict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1090,5</w:t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line="100" w:lineRule="atLeast"/>
            </w:pPr>
            <w:r>
              <w:rPr>
                <w:sz w:val="26"/>
                <w:szCs w:val="26"/>
              </w:rPr>
            </w:r>
          </w:p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1098,5</w:t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15,0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pict>
                <v:shape id="shape_253531467" style="position:absolute;margin-left:0pt;margin-top:0pt;width:44.95pt;height:41.95pt" type="shapetype_75">
                  <w10:wrap w10:type="none"/>
                  <v:fill detectmouseclick="t"/>
                  <v:stroke color="black" joinstyle="round"/>
                </v:shape>
              </w:pict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404,0</w:t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line="100" w:lineRule="atLeast"/>
            </w:pPr>
            <w:r>
              <w:rPr>
                <w:sz w:val="26"/>
                <w:szCs w:val="26"/>
              </w:rPr>
            </w:r>
          </w:p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967,8</w:t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927,9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szCs w:val="26"/>
              </w:rPr>
              <w:t>Национальная безопасность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pict>
                <v:shape id="shape_253531468" style="position:absolute;margin-left:0pt;margin-top:0pt;width:44.2pt;height:37.45pt" type="shapetype_75">
                  <w10:wrap w10:type="none"/>
                  <v:fill detectmouseclick="t"/>
                  <v:stroke color="black" joinstyle="round"/>
                </v:shape>
              </w:pict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pict>
                <v:shape id="shape_253531469" style="position:absolute;margin-left:0pt;margin-top:0pt;width:45.7pt;height:36.7pt" type="shapetype_75">
                  <w10:wrap w10:type="none"/>
                  <v:fill detectmouseclick="t"/>
                  <v:stroke color="black" joinstyle="round"/>
                </v:shape>
              </w:pict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1,3</w:t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line="100" w:lineRule="atLeast"/>
            </w:pPr>
            <w:r>
              <w:rPr>
                <w:sz w:val="26"/>
                <w:szCs w:val="26"/>
              </w:rPr>
            </w:r>
          </w:p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41,0</w:t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5,0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pict>
                <v:shape id="shape_253531470" style="position:absolute;margin-left:0pt;margin-top:0pt;width:44.95pt;height:36.7pt" type="shapetype_75">
                  <w10:wrap w10:type="none"/>
                  <v:fill detectmouseclick="t"/>
                  <v:stroke color="black" joinstyle="round"/>
                </v:shape>
              </w:pict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46,5</w:t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line="100" w:lineRule="atLeast"/>
            </w:pPr>
            <w:r>
              <w:rPr>
                <w:sz w:val="26"/>
                <w:szCs w:val="26"/>
              </w:rPr>
            </w:r>
          </w:p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52,1</w:t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112,0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pict>
                <v:shape id="shape_253531471" style="position:absolute;margin-left:0pt;margin-top:0pt;width:44.95pt;height:35.95pt" type="shapetype_75">
                  <w10:wrap w10:type="none"/>
                  <v:fill detectmouseclick="t"/>
                  <v:stroke color="black" joinstyle="round"/>
                </v:shape>
              </w:pict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  <w:t>0,1</w:t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szCs w:val="26"/>
              </w:rPr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4502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 w:line="100" w:lineRule="atLeast"/>
            </w:pPr>
            <w:r>
              <w:rPr>
                <w:sz w:val="26"/>
                <w:b/>
                <w:szCs w:val="26"/>
              </w:rPr>
              <w:t>ИТОГО расходов:</w:t>
            </w:r>
          </w:p>
        </w:tc>
        <w:tc>
          <w:tcPr>
            <w:tcBorders/>
            <w:shd w:fill="auto"/>
            <w:tcW w:type="dxa" w:w="606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right"/>
              <w:spacing w:after="200" w:before="0" w:line="100" w:lineRule="atLeast"/>
            </w:pPr>
            <w:r>
              <w:rPr>
                <w:sz w:val="26"/>
                <w:b/>
                <w:szCs w:val="26"/>
              </w:rPr>
            </w:r>
          </w:p>
        </w:tc>
        <w:tc>
          <w:tcPr>
            <w:tcBorders/>
            <w:shd w:fill="auto"/>
            <w:tcW w:type="dxa" w:w="747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b/>
                <w:szCs w:val="26"/>
              </w:rPr>
              <w:t>3586,4</w:t>
            </w:r>
          </w:p>
        </w:tc>
        <w:tc>
          <w:tcPr>
            <w:tcBorders/>
            <w:shd w:fill="auto"/>
            <w:tcW w:type="dxa" w:w="875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b/>
                <w:szCs w:val="26"/>
              </w:rPr>
              <w:t>3973,7</w:t>
            </w:r>
          </w:p>
        </w:tc>
        <w:tc>
          <w:tcPr>
            <w:tcBorders/>
            <w:shd w:fill="auto"/>
            <w:tcW w:type="dxa" w:w="1016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200" w:before="0" w:line="100" w:lineRule="atLeast"/>
            </w:pPr>
            <w:r>
              <w:rPr>
                <w:sz w:val="26"/>
                <w:b/>
                <w:szCs w:val="26"/>
              </w:rPr>
              <w:t>3096,8</w:t>
            </w:r>
          </w:p>
        </w:tc>
      </w:tr>
    </w:tbl>
    <w:p>
      <w:pPr>
        <w:pStyle w:val="style22"/>
        <w:ind w:firstLine="708" w:left="0" w:right="0"/>
        <w:spacing w:after="200" w:before="28"/>
      </w:pPr>
      <w:r>
        <w:rPr/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>
      <w:pPr>
        <w:pStyle w:val="style22"/>
        <w:spacing w:after="200" w:before="28"/>
      </w:pPr>
      <w:r>
        <w:rPr/>
      </w:r>
    </w:p>
    <w:sectPr>
      <w:formProt w:val="off"/>
      <w:pgSz w:h="16838" w:w="11906"/>
      <w:docGrid w:charSpace="4096" w:linePitch="240" w:type="default"/>
      <w:textDirection w:val="lrTb"/>
      <w:pgNumType w:fmt="decimal"/>
      <w:type w:val="nextPage"/>
      <w:pgMar w:bottom="284" w:left="1418" w:right="567" w:top="284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itch w:val="variable"/>
  </w:font>
  <w:font w:name="Symbol">
    <w:charset w:val="02"/>
    <w:family w:val="roman"/>
    <w:pitch w:val="variable"/>
  </w:font>
  <w:font w:name="Arial">
    <w:charset w:val="cc"/>
    <w:family w:val="swiss"/>
    <w:pitch w:val="variable"/>
  </w:font>
  <w:font w:name="Times New Roman">
    <w:charset w:val="cc"/>
    <w:family w:val="auto"/>
    <w:pitch w:val="default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Times New Roman" w:eastAsia="Times New Roman" w:hAnsi="Calibri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/>
  </w:style>
  <w:style w:styleId="style17" w:type="paragraph">
    <w:name w:val="Заголовок"/>
    <w:basedOn w:val="style0"/>
    <w:next w:val="style18"/>
    <w:pPr>
      <w:keepNext/>
      <w:spacing w:after="120" w:before="240"/>
    </w:pPr>
    <w:rPr>
      <w:sz w:val="28"/>
      <w:szCs w:val="28"/>
      <w:rFonts w:ascii="Arial" w:cs="Mangal" w:eastAsia="SimSun" w:hAnsi="Arial"/>
    </w:rPr>
  </w:style>
  <w:style w:styleId="style18" w:type="paragraph">
    <w:name w:val="Основной текст"/>
    <w:basedOn w:val="style0"/>
    <w:next w:val="style18"/>
    <w:pPr>
      <w:spacing w:after="120" w:before="0"/>
    </w:pPr>
    <w:rPr/>
  </w:style>
  <w:style w:styleId="style19" w:type="paragraph">
    <w:name w:val="Список"/>
    <w:basedOn w:val="style18"/>
    <w:next w:val="style19"/>
    <w:pPr/>
    <w:rPr>
      <w:rFonts w:ascii="Arial" w:cs="Mangal" w:hAnsi="Arial"/>
    </w:rPr>
  </w:style>
  <w:style w:styleId="style20" w:type="paragraph">
    <w:name w:val="Название"/>
    <w:basedOn w:val="style0"/>
    <w:next w:val="style20"/>
    <w:pPr>
      <w:suppressLineNumbers/>
      <w:spacing w:after="120" w:before="120"/>
    </w:pPr>
    <w:rPr>
      <w:sz w:val="20"/>
      <w:i/>
      <w:szCs w:val="24"/>
      <w:iCs/>
      <w:rFonts w:ascii="Arial" w:cs="Mangal" w:hAnsi="Arial"/>
    </w:rPr>
  </w:style>
  <w:style w:styleId="style21" w:type="paragraph">
    <w:name w:val="Указатель"/>
    <w:basedOn w:val="style0"/>
    <w:next w:val="style21"/>
    <w:pPr>
      <w:suppressLineNumbers/>
    </w:pPr>
    <w:rPr>
      <w:rFonts w:ascii="Arial" w:cs="Mangal" w:hAnsi="Arial"/>
    </w:rPr>
  </w:style>
  <w:style w:styleId="style22" w:type="paragraph">
    <w:name w:val="Normal (Web)"/>
    <w:basedOn w:val="style0"/>
    <w:next w:val="style22"/>
    <w:pPr/>
    <w:rPr/>
  </w:style>
  <w:style w:styleId="style23" w:type="paragraph">
    <w:name w:val="Normal"/>
    <w:next w:val="style23"/>
    <w:pPr>
      <w:widowControl w:val="off"/>
      <w:tabs>
        <w:tab w:leader="none" w:pos="709" w:val="left"/>
      </w:tabs>
      <w:suppressAutoHyphens w:val="true"/>
    </w:pPr>
    <w:rPr>
      <w:color w:val="auto"/>
      <w:sz w:val="20"/>
      <w:szCs w:val="20"/>
      <w:rFonts w:ascii="Times New Roman" w:cs="Times New Roman" w:eastAsia="Times New Roman" w:hAnsi="Times New Roman"/>
      <w:lang w:bidi="ar-SA" w:eastAsia="ru-RU" w:val="ru-RU"/>
    </w:rPr>
  </w:style>
  <w:style w:styleId="style24" w:type="paragraph">
    <w:name w:val="Balloon Text"/>
    <w:basedOn w:val="style0"/>
    <w:next w:val="style24"/>
    <w:pPr/>
    <w:rPr/>
  </w:style>
  <w:style w:styleId="style25" w:type="paragraph">
    <w:name w:val="Содержимое врезки"/>
    <w:basedOn w:val="style18"/>
    <w:next w:val="style25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2014-12-04T05:49:00.00Z</dcterms:created>
  <dc:creator>пользователь</dc:creator>
  <cp:lastModifiedBy>Елена</cp:lastModifiedBy>
  <cp:lastPrinted>2014-12-05T05:35:00.00Z</cp:lastPrinted>
  <dcterms:modified xsi:type="dcterms:W3CDTF">2015-12-23T11:20:00.00Z</dcterms:modified>
  <cp:revision>66</cp:revision>
  <dc:title>Уважаемые жители Ивантеевского муниципального района</dc:title>
</cp:coreProperties>
</file>