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E0" w:rsidRPr="003B4DE0" w:rsidRDefault="003B4DE0" w:rsidP="003B4DE0">
      <w:pPr>
        <w:pStyle w:val="a4"/>
        <w:jc w:val="center"/>
        <w:rPr>
          <w:rFonts w:ascii="Times New Roman" w:eastAsia="Times New Roman CYR" w:hAnsi="Times New Roman" w:cs="Times New Roman"/>
          <w:b/>
          <w:color w:val="000000"/>
          <w:spacing w:val="-5"/>
          <w:sz w:val="28"/>
          <w:szCs w:val="28"/>
        </w:rPr>
      </w:pPr>
      <w:r w:rsidRPr="003B4D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4DE0" w:rsidRPr="003B4DE0" w:rsidRDefault="003B4DE0" w:rsidP="003B4DE0">
      <w:pPr>
        <w:pStyle w:val="a4"/>
        <w:jc w:val="center"/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</w:pPr>
      <w:r w:rsidRPr="003B4DE0">
        <w:rPr>
          <w:rFonts w:ascii="Times New Roman" w:eastAsia="Times New Roman CYR" w:hAnsi="Times New Roman" w:cs="Times New Roman"/>
          <w:b/>
          <w:color w:val="000000"/>
          <w:spacing w:val="-5"/>
          <w:sz w:val="28"/>
          <w:szCs w:val="28"/>
        </w:rPr>
        <w:t>ЧЕРНАВСКОГО</w:t>
      </w:r>
      <w:r w:rsidRPr="003B4D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3B4DE0">
        <w:rPr>
          <w:rFonts w:ascii="Times New Roman" w:eastAsia="Times New Roman CYR" w:hAnsi="Times New Roman" w:cs="Times New Roman"/>
          <w:b/>
          <w:color w:val="000000"/>
          <w:spacing w:val="-5"/>
          <w:sz w:val="28"/>
          <w:szCs w:val="28"/>
        </w:rPr>
        <w:t>МУНИЦИПАЛЬНОГО</w:t>
      </w:r>
      <w:r w:rsidRPr="003B4D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3B4DE0">
        <w:rPr>
          <w:rFonts w:ascii="Times New Roman" w:eastAsia="Times New Roman CYR" w:hAnsi="Times New Roman" w:cs="Times New Roman"/>
          <w:b/>
          <w:color w:val="000000"/>
          <w:spacing w:val="-5"/>
          <w:sz w:val="28"/>
          <w:szCs w:val="28"/>
        </w:rPr>
        <w:t>ОБРАЗОВАНИЯ</w:t>
      </w:r>
    </w:p>
    <w:p w:rsidR="003B4DE0" w:rsidRPr="003B4DE0" w:rsidRDefault="003B4DE0" w:rsidP="003B4DE0">
      <w:pPr>
        <w:pStyle w:val="a4"/>
        <w:jc w:val="center"/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</w:pPr>
      <w:r w:rsidRPr="003B4DE0"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  <w:t>ИВАНТЕЕВСКОГО</w:t>
      </w:r>
      <w:r w:rsidRPr="003B4DE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3B4DE0"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  <w:t>МУНИЦИПАЛЬНОГО</w:t>
      </w:r>
      <w:r w:rsidRPr="003B4DE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3B4DE0">
        <w:rPr>
          <w:rFonts w:ascii="Times New Roman" w:eastAsia="Times New Roman CYR" w:hAnsi="Times New Roman" w:cs="Times New Roman"/>
          <w:b/>
          <w:color w:val="000000"/>
          <w:spacing w:val="-4"/>
          <w:sz w:val="28"/>
          <w:szCs w:val="28"/>
        </w:rPr>
        <w:t>РАЙОНА</w:t>
      </w:r>
    </w:p>
    <w:p w:rsidR="003B4DE0" w:rsidRPr="003B4DE0" w:rsidRDefault="003B4DE0" w:rsidP="003B4D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E0">
        <w:rPr>
          <w:rFonts w:ascii="Times New Roman" w:eastAsia="Times New Roman CYR" w:hAnsi="Times New Roman" w:cs="Times New Roman"/>
          <w:b/>
          <w:color w:val="000000"/>
          <w:spacing w:val="-6"/>
          <w:sz w:val="28"/>
          <w:szCs w:val="28"/>
        </w:rPr>
        <w:t>САРАТОВСКОЙ</w:t>
      </w:r>
      <w:r w:rsidRPr="003B4D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3B4DE0">
        <w:rPr>
          <w:rFonts w:ascii="Times New Roman" w:eastAsia="Times New Roman CYR" w:hAnsi="Times New Roman" w:cs="Times New Roman"/>
          <w:b/>
          <w:color w:val="000000"/>
          <w:spacing w:val="-6"/>
          <w:sz w:val="28"/>
          <w:szCs w:val="28"/>
        </w:rPr>
        <w:t>ОБЛАСТИ</w:t>
      </w:r>
    </w:p>
    <w:p w:rsidR="003B4DE0" w:rsidRPr="003B4DE0" w:rsidRDefault="003B4DE0" w:rsidP="003B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E0" w:rsidRPr="003B4DE0" w:rsidRDefault="003B4DE0" w:rsidP="003B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DE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B4DE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№ 28</w:t>
      </w:r>
    </w:p>
    <w:p w:rsidR="003B4DE0" w:rsidRPr="002078F3" w:rsidRDefault="003B4DE0" w:rsidP="003B4DE0">
      <w:pPr>
        <w:rPr>
          <w:rFonts w:ascii="Times New Roman" w:hAnsi="Times New Roman" w:cs="Times New Roman"/>
        </w:rPr>
      </w:pPr>
    </w:p>
    <w:p w:rsidR="003B4DE0" w:rsidRPr="003B4DE0" w:rsidRDefault="003B4DE0" w:rsidP="003B4DE0">
      <w:pPr>
        <w:rPr>
          <w:rFonts w:ascii="Times New Roman" w:hAnsi="Times New Roman" w:cs="Times New Roman"/>
          <w:sz w:val="28"/>
          <w:szCs w:val="28"/>
        </w:rPr>
      </w:pPr>
      <w:r w:rsidRPr="003B4DE0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От</w:t>
      </w:r>
      <w:r w:rsidRPr="003B4DE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23</w:t>
      </w:r>
      <w:r w:rsidRPr="003B4DE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.06.2021 г.</w:t>
      </w:r>
      <w:r w:rsidRPr="003B4DE0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</w:t>
      </w:r>
      <w:r w:rsidRPr="003B4DE0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                             </w:t>
      </w:r>
      <w:proofErr w:type="gramStart"/>
      <w:r w:rsidRPr="003B4DE0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3B4DE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3B4DE0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Чернава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C22141" w:rsidRPr="003B4DE0" w:rsidRDefault="00C22141" w:rsidP="00C2214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установлении форм отчетности и пороговых значений </w:t>
      </w:r>
      <w:proofErr w:type="gramStart"/>
      <w:r w:rsidRP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показателей эффективности использования недвижимого имущества казны</w:t>
      </w:r>
      <w:proofErr w:type="gramEnd"/>
      <w:r w:rsidRP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Чернавского</w:t>
      </w:r>
      <w:r w:rsidRP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</w:t>
      </w:r>
      <w:r w:rsidRP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 муниципального района Саратовской области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06 октября 2003 года № 131-ФЗ «Об общих принципах организации местного самоуправления в Российской Федерации», распоряжением Правительства РФ от 12.10.2020 г. 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им», руководствуясь </w:t>
      </w:r>
      <w:hyperlink r:id="rId5" w:tgtFrame="_blank" w:history="1">
        <w:r w:rsidRPr="00C22141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Уставом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Саратовской области, администрация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Саратовской области</w:t>
      </w:r>
    </w:p>
    <w:p w:rsidR="00C22141" w:rsidRPr="00C22141" w:rsidRDefault="00C22141" w:rsidP="00C22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формы отчетности и пороговые значения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эффективности использования недвижимого имущества казны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Саратовской области согласно приложению к настоящему постановлению.</w:t>
      </w:r>
    </w:p>
    <w:p w:rsidR="003B4DE0" w:rsidRPr="003B4DE0" w:rsidRDefault="00C22141" w:rsidP="003B4DE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4DE0" w:rsidRPr="005915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4DE0" w:rsidRPr="0059158F">
        <w:rPr>
          <w:rFonts w:ascii="Times New Roman" w:hAnsi="Times New Roman"/>
          <w:sz w:val="24"/>
          <w:szCs w:val="24"/>
        </w:rPr>
        <w:t xml:space="preserve"> </w:t>
      </w:r>
      <w:r w:rsidR="003B4DE0" w:rsidRPr="003B4DE0">
        <w:rPr>
          <w:rFonts w:ascii="Times New Roman" w:hAnsi="Times New Roman"/>
          <w:spacing w:val="-11"/>
          <w:sz w:val="28"/>
          <w:szCs w:val="28"/>
        </w:rPr>
        <w:t xml:space="preserve">Настоящее постановление опубликовать в </w:t>
      </w:r>
      <w:r w:rsidR="003B4DE0" w:rsidRPr="003B4DE0">
        <w:rPr>
          <w:rFonts w:ascii="Times New Roman" w:hAnsi="Times New Roman"/>
          <w:kern w:val="2"/>
          <w:sz w:val="28"/>
          <w:szCs w:val="28"/>
        </w:rPr>
        <w:t>информационном бюллетене «Вестник» и разместить на официальном сайте администрации Ивантеевского муниципального района в разделе Чернавское муниципальное образование в сети «Интернет».</w:t>
      </w:r>
    </w:p>
    <w:p w:rsidR="003B4DE0" w:rsidRPr="003B4DE0" w:rsidRDefault="00C22141" w:rsidP="003B4DE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4DE0" w:rsidRPr="003B4DE0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B4DE0" w:rsidRPr="003B4DE0" w:rsidRDefault="003B4DE0" w:rsidP="003B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2141" w:rsidRPr="003B4DE0" w:rsidRDefault="00C22141" w:rsidP="003B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DE0" w:rsidRPr="003B4DE0" w:rsidRDefault="003B4DE0" w:rsidP="003B4DE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D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 Чернавского </w:t>
      </w:r>
    </w:p>
    <w:p w:rsidR="00C22141" w:rsidRDefault="003B4DE0" w:rsidP="003B4DE0">
      <w:pPr>
        <w:pStyle w:val="a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B4DE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  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      </w:t>
      </w:r>
      <w:r w:rsidRPr="003B4D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О.А Романова </w:t>
      </w:r>
    </w:p>
    <w:p w:rsidR="003B4DE0" w:rsidRPr="003B4DE0" w:rsidRDefault="003B4DE0" w:rsidP="003B4DE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141" w:rsidRPr="003B4DE0" w:rsidRDefault="00C22141" w:rsidP="003B4DE0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C22141" w:rsidRPr="003B4DE0" w:rsidRDefault="00C22141" w:rsidP="003B4DE0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 </w:t>
      </w:r>
      <w:r w:rsidR="003B4DE0"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Чернавского</w:t>
      </w:r>
    </w:p>
    <w:p w:rsidR="00C22141" w:rsidRPr="003B4DE0" w:rsidRDefault="00C22141" w:rsidP="003B4DE0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C22141" w:rsidRPr="003B4DE0" w:rsidRDefault="003B4DE0" w:rsidP="003B4DE0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="00C22141"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C22141" w:rsidRPr="003B4DE0" w:rsidRDefault="00C22141" w:rsidP="003B4DE0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</w:t>
      </w:r>
    </w:p>
    <w:p w:rsidR="00C22141" w:rsidRPr="003B4DE0" w:rsidRDefault="00C22141" w:rsidP="003B4DE0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«2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202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C22141" w:rsidRPr="00C22141" w:rsidRDefault="00C22141" w:rsidP="00C22141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установлении форм отчетности и пороговых значений </w:t>
      </w:r>
      <w:proofErr w:type="gramStart"/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показателей эффективности использования недвижимого имущества казны</w:t>
      </w:r>
      <w:proofErr w:type="gramEnd"/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B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Саратовской области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  положения</w:t>
      </w:r>
    </w:p>
    <w:p w:rsidR="00C22141" w:rsidRPr="00C22141" w:rsidRDefault="00C22141" w:rsidP="00C22141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Администрация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(далее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образования) при управлении и распоряжении муниципальным имуществом должна руководствоваться распоряжением Правительство Российской Федерации от 12 октября 2020 г. № 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  и ежегодно, до 15 июля года, следующего за отчетным, размещать в системе «Управление» отчетность об эффективности управления и распоряжения муниципальным имуществом по </w:t>
      </w:r>
      <w:hyperlink r:id="rId6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формам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 данным постановлением.</w:t>
      </w:r>
    </w:p>
    <w:p w:rsidR="00C22141" w:rsidRPr="00C22141" w:rsidRDefault="00C22141" w:rsidP="00C22141">
      <w:pPr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Администрация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образования,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осуществляющая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Формы отчетности и пороговых значений </w:t>
      </w:r>
      <w:proofErr w:type="gramStart"/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показателей эффективности использования недвижимого имущества казны</w:t>
      </w:r>
      <w:proofErr w:type="gramEnd"/>
    </w:p>
    <w:p w:rsidR="00C22141" w:rsidRPr="00C22141" w:rsidRDefault="003B4DE0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Чернавского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образования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Анализ эффективности использования недвижимого имущества казны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осуществляется по следующим показателям эффективности: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передачи на безвозмездной основе объектов недвижимого имущества казны публично-правового образования в целях имущественной поддержки некоммерческим организациям - по форме отчетности, предусмотренной </w:t>
      </w:r>
      <w:hyperlink r:id="rId7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1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показатели, характеризующие эффективность управления и распоряжения объектами недвижимого имущества казны публично-правового образования, которые включены в перечни имущества, предоставляемого субъектам малого и среднего предпринимательства, - по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отчетности, предусмотренной </w:t>
      </w:r>
      <w:hyperlink r:id="rId8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2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эффективность управления и распоряжения земельными участками, - по форме отчетности, предусмотренной </w:t>
      </w:r>
      <w:hyperlink r:id="rId9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3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просроченной более чем на 3 квартала задолженности по договорам аренды объектов недвижимого имущества,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 </w:t>
      </w:r>
      <w:hyperlink r:id="rId10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публично-правового образования;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объектов недвижимого имущества, вовлеченных в коммерческий оборот в рамках концессионных соглашений, соглашений о государственно-частном (муниципально-частном) партнерстве, инвестиционных договоров, в общем количестве объектов недвижимого имущества, находящихся в собственности публично-правового образования на конец отчетного года.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Отчетность составляется по каждому объекту недвижимого имущества казны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на основе данных бюджетной отчетности.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Оценка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эффективности использования объектов недвижимого имущества казны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Чернавского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осуществляется администрацией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образования. При </w:t>
      </w:r>
      <w:r w:rsidR="003B4DE0"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достижении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пороговых значений показателей эффективности администрация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осуществляет подготовку плана повышения эффективности управления и распоряжения недвижимым имуществом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Чернавского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с указанием конкретных объектов, по которым в плановом периоде может предусматриваться: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взыскание задолженности;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вовлечение в инфраструктурные проекты и отношения, связанные с инвестиционной деятельностью;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закрепление за органами местного самоуправления;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передача на иной уровень публичной собственности;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мероприятия по предоставлению земельных участков в соответствии с Земельным </w:t>
      </w:r>
      <w:hyperlink r:id="rId11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реализация земельных участков в соответствии с Земельным </w:t>
      </w:r>
      <w:hyperlink r:id="rId12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приватизация.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Анализ эффективности приватизации имущества казны </w:t>
      </w:r>
      <w:r w:rsidR="003B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осуществляется по показателям по форме отчетности, предусмотренной </w:t>
      </w:r>
      <w:hyperlink r:id="rId13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4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методике.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C22141" w:rsidRDefault="00C22141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Default="003B4DE0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B4DE0" w:rsidRPr="00C22141" w:rsidRDefault="003B4DE0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Таблица 1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Par734"/>
      <w:bookmarkEnd w:id="0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 эффективности передачи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безвозмездной основе объектов недвижимого имущества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казны публично-правового образования в целях имущественной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поддержки некоммерческим организациям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650"/>
        <w:gridCol w:w="1325"/>
        <w:gridCol w:w="1322"/>
        <w:gridCol w:w="18"/>
      </w:tblGrid>
      <w:tr w:rsidR="00C22141" w:rsidRPr="00C22141" w:rsidTr="00C22141">
        <w:tc>
          <w:tcPr>
            <w:tcW w:w="552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4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нарушения выявлены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нарушения не выявлены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от 0 до 75% (включительно)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более 75% (равно либо отсутствие нарушений)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Default="00C22141" w:rsidP="003B4DE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4DE0" w:rsidRPr="00C22141" w:rsidRDefault="003B4DE0" w:rsidP="003B4DE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Таблица 2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" w:name="Par789"/>
      <w:bookmarkEnd w:id="1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показателям, характеризующим эффективность управления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распоряжения объектами недвижимого имущества казны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публично-правового образования, которые включены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перечни имущества, предоставляемого субъектам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малого и среднего предпринимательства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1757"/>
        <w:gridCol w:w="1341"/>
        <w:gridCol w:w="1474"/>
        <w:gridCol w:w="20"/>
      </w:tblGrid>
      <w:tr w:rsidR="00C22141" w:rsidRPr="00C22141" w:rsidTr="00C22141">
        <w:tc>
          <w:tcPr>
            <w:tcW w:w="447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5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 течение года торгов в отношении каждого объекта казны публично-правового образования </w:t>
            </w:r>
            <w:hyperlink r:id="rId16" w:anchor="Par836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торги не проводились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подана ни одна заявка/подана</w:t>
            </w:r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 одна заявка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" w:name="Par836"/>
      <w:bookmarkEnd w:id="2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3B4DE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Default="00C22141" w:rsidP="003B4DE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4DE0" w:rsidRPr="00C22141" w:rsidRDefault="003B4DE0" w:rsidP="003B4DE0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Таблица 3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" w:name="Par842"/>
      <w:bookmarkEnd w:id="3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показателям, характеризующим эффективность управления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распоряжения земельными участками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1757"/>
        <w:gridCol w:w="1341"/>
        <w:gridCol w:w="1474"/>
        <w:gridCol w:w="20"/>
      </w:tblGrid>
      <w:tr w:rsidR="00C22141" w:rsidRPr="00C22141" w:rsidTr="00C22141">
        <w:tc>
          <w:tcPr>
            <w:tcW w:w="447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7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Процент сокращения площади земельных участков муниципальной казны, не вовлеченных в хозяйственный оборот, по отношению к площади земельных участков муниципальной казны в 2012 году (за исключением земельных участков, изъятых из оборота и ограниченных в обороте) </w:t>
            </w:r>
            <w:hyperlink r:id="rId18" w:anchor="Par893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&lt;2&gt;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находящихся в государственной (муниципальной) собственности, в отношении которых сформированы и уточнены границы, а также внесены сведения в Единый государственный реестр недвижимости </w:t>
            </w:r>
            <w:hyperlink r:id="rId19" w:anchor="Par893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&lt;2&gt;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(га):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" w:name="Par892"/>
      <w:bookmarkStart w:id="5" w:name="Par893"/>
      <w:bookmarkEnd w:id="4"/>
      <w:bookmarkEnd w:id="5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&lt;2&gt; Органам местного самоуправления рекомендуется установить значение показателя.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4DE0" w:rsidRDefault="00C22141" w:rsidP="003B4DE0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3B4DE0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6" w:name="_GoBack"/>
      <w:bookmarkEnd w:id="6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Таблица 4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7" w:name="Par899"/>
      <w:bookmarkEnd w:id="7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показателям, характеризующим эффективность приватизации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объектов муниципального имущества казны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020"/>
        <w:gridCol w:w="1474"/>
        <w:gridCol w:w="654"/>
        <w:gridCol w:w="20"/>
      </w:tblGrid>
      <w:tr w:rsidR="00C22141" w:rsidRPr="00C22141" w:rsidTr="00C22141">
        <w:tc>
          <w:tcPr>
            <w:tcW w:w="583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65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20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Доля продаж пакетов акций акционерных обществ, подлежащих продаже в соответствии с прогнозным планом (программой) приватизации </w:t>
            </w:r>
            <w:hyperlink r:id="rId21" w:anchor="Par949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Доля продаж объектов имущества муниципальной казны, подлежащих продаже в соответствии с прогнозным планом (программой) приватизации (за исключением пакетов акций акционерных обществ) </w:t>
            </w:r>
            <w:hyperlink r:id="rId22" w:anchor="Par949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8" w:name="Par949"/>
      <w:bookmarkEnd w:id="8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&lt;1&gt; Органам местного самоуправления рекомендуется установить значение показателя.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5400" w:rsidRDefault="009B5400"/>
    <w:sectPr w:rsidR="009B5400" w:rsidSect="009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41"/>
    <w:rsid w:val="003B4DE0"/>
    <w:rsid w:val="009B5400"/>
    <w:rsid w:val="00C22141"/>
    <w:rsid w:val="00D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">
    <w:name w:val="normal0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22141"/>
  </w:style>
  <w:style w:type="paragraph" w:customStyle="1" w:styleId="10">
    <w:name w:val="Ниж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0">
    <w:name w:val="listparagraph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4D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pravo-search.minjust.ru:8080/bigs/por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hyperlink" Target="http://rnla-service.scli.ru:8080/rnla-links/ws/content/ac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hyperlink" Target="http://rnla-service.scli.ru:8080/rnla-links/ws/content/act/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C1252312-C8EE-43A1-9D48-288665E3700E" TargetMode="External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2021-06-29T05:16:00Z</cp:lastPrinted>
  <dcterms:created xsi:type="dcterms:W3CDTF">2021-06-28T07:31:00Z</dcterms:created>
  <dcterms:modified xsi:type="dcterms:W3CDTF">2021-06-29T05:17:00Z</dcterms:modified>
</cp:coreProperties>
</file>