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168" y="0"/>
                <wp:lineTo x="-1168" y="19859"/>
                <wp:lineTo x="21222" y="19859"/>
                <wp:lineTo x="21222" y="0"/>
                <wp:lineTo x="-1168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>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01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en-US" w:eastAsia="zh-CN" w:bidi="ar-SA"/>
        </w:rPr>
        <w:t>с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ентября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17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157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8"/>
        <w:gridCol w:w="3557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17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157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сентябрь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2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7085" cy="522605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52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*Извещение о приеме заявлений от граждан о намерении участвовать в аукционе по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аренде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земельного участка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BodyText2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Cs w:val="28"/>
        </w:rPr>
      </w:pPr>
      <w:r>
        <w:rPr>
          <w:b/>
          <w:szCs w:val="28"/>
        </w:rPr>
      </w:r>
    </w:p>
    <w:p>
      <w:pPr>
        <w:pStyle w:val="BodyText2"/>
        <w:spacing w:lineRule="auto" w:line="240" w:before="0" w:after="0"/>
        <w:ind w:left="0" w:right="0" w:hanging="0"/>
        <w:jc w:val="center"/>
        <w:rPr/>
      </w:pPr>
      <w:r>
        <w:rPr>
          <w:b/>
          <w:szCs w:val="28"/>
        </w:rPr>
        <w:t>ИЗВЕЩЕНИЕ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аренду земельн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ого участка </w:t>
      </w:r>
      <w:r>
        <w:rPr>
          <w:sz w:val="26"/>
          <w:szCs w:val="26"/>
        </w:rPr>
        <w:t xml:space="preserve">площадью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1976</w:t>
      </w:r>
      <w:r>
        <w:rPr>
          <w:sz w:val="26"/>
          <w:szCs w:val="26"/>
        </w:rPr>
        <w:t>+/-1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6</w:t>
      </w:r>
      <w:r>
        <w:rPr>
          <w:sz w:val="26"/>
          <w:szCs w:val="26"/>
        </w:rPr>
        <w:t>кв.м., кадастровый номер 64:14: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340101</w:t>
      </w:r>
      <w:r>
        <w:rPr>
          <w:sz w:val="26"/>
          <w:szCs w:val="26"/>
        </w:rPr>
        <w:t>:348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Журавлиха, ул.Центральная, з/у 1А</w:t>
      </w:r>
      <w:r>
        <w:rPr>
          <w:sz w:val="26"/>
          <w:szCs w:val="26"/>
        </w:rPr>
        <w:t xml:space="preserve">. 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На земельный участок установлены ограничения прав, предусмотренные ст. 56 Земельного кодекса Российской Федерации. </w:t>
      </w:r>
      <w:r>
        <w:rPr>
          <w:sz w:val="26"/>
          <w:szCs w:val="26"/>
        </w:rPr>
        <w:t>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с «</w:t>
      </w:r>
      <w:r>
        <w:rPr>
          <w:rFonts w:eastAsia="Calibri" w:cs=""/>
          <w:color w:val="00000A"/>
          <w:kern w:val="0"/>
          <w:sz w:val="26"/>
          <w:szCs w:val="26"/>
          <w:lang w:val="ru-RU" w:eastAsia="en-US" w:bidi="ar-SA"/>
        </w:rPr>
        <w:t>02</w:t>
      </w:r>
      <w:r>
        <w:rPr>
          <w:sz w:val="26"/>
          <w:szCs w:val="26"/>
        </w:rPr>
        <w:t xml:space="preserve">» </w:t>
      </w:r>
      <w:r>
        <w:rPr>
          <w:rFonts w:eastAsia="Calibri" w:cs=""/>
          <w:color w:val="00000A"/>
          <w:kern w:val="0"/>
          <w:sz w:val="26"/>
          <w:szCs w:val="26"/>
          <w:lang w:val="ru-RU" w:eastAsia="en-US" w:bidi="ar-SA"/>
        </w:rPr>
        <w:t>сентября</w:t>
      </w:r>
      <w:r>
        <w:rPr>
          <w:sz w:val="26"/>
          <w:szCs w:val="26"/>
        </w:rPr>
        <w:t xml:space="preserve"> 202</w:t>
      </w:r>
      <w:r>
        <w:rPr>
          <w:rFonts w:eastAsia="Calibri"/>
          <w:color w:val="00000A"/>
          <w:sz w:val="26"/>
          <w:szCs w:val="26"/>
        </w:rPr>
        <w:t>2</w:t>
      </w:r>
      <w:r>
        <w:rPr>
          <w:sz w:val="26"/>
          <w:szCs w:val="26"/>
        </w:rPr>
        <w:t>г. с 08.00 по местному времени.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окончания приема заявлений: «</w:t>
      </w:r>
      <w:r>
        <w:rPr>
          <w:rFonts w:eastAsia="NSimSun" w:cs="Liberation Mono"/>
          <w:color w:val="00000A"/>
          <w:kern w:val="0"/>
          <w:sz w:val="26"/>
          <w:szCs w:val="26"/>
          <w:lang w:val="ru-RU" w:eastAsia="en-US" w:bidi="ar-SA"/>
        </w:rPr>
        <w:t>03</w:t>
      </w:r>
      <w:r>
        <w:rPr>
          <w:sz w:val="26"/>
          <w:szCs w:val="26"/>
        </w:rPr>
        <w:t xml:space="preserve">» </w:t>
      </w:r>
      <w:r>
        <w:rPr>
          <w:rFonts w:eastAsia="NSimSun" w:cs="Liberation Mono"/>
          <w:color w:val="00000A"/>
          <w:kern w:val="0"/>
          <w:sz w:val="26"/>
          <w:szCs w:val="26"/>
          <w:lang w:val="ru-RU" w:eastAsia="en-US" w:bidi="ar-SA"/>
        </w:rPr>
        <w:t>октября</w:t>
      </w:r>
      <w:r>
        <w:rPr>
          <w:sz w:val="26"/>
          <w:szCs w:val="26"/>
        </w:rPr>
        <w:t xml:space="preserve"> 202</w:t>
      </w:r>
      <w:r>
        <w:rPr>
          <w:rFonts w:eastAsia="NSimSun" w:cs="Liberation Mono"/>
          <w:color w:val="00000A"/>
          <w:sz w:val="26"/>
          <w:szCs w:val="26"/>
        </w:rPr>
        <w:t>2</w:t>
      </w:r>
      <w:r>
        <w:rPr>
          <w:sz w:val="26"/>
          <w:szCs w:val="26"/>
        </w:rPr>
        <w:t>г. до 16.00 по местному времени.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sz w:val="26"/>
          <w:szCs w:val="26"/>
        </w:rPr>
        <w:t>рганом местного самоуправления.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sz w:val="26"/>
          <w:szCs w:val="26"/>
          <w:lang w:val="en-US"/>
        </w:rPr>
        <w:t>iva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omo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rambler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).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bookmarkStart w:id="1" w:name="__DdeLink__4397_871451946"/>
      <w:bookmarkStart w:id="2" w:name="__DdeLink__68_145217102"/>
      <w:bookmarkStart w:id="3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</w:t>
      </w:r>
      <w:bookmarkStart w:id="4" w:name="__DdeLink__60_3606171665"/>
      <w:r>
        <w:rPr>
          <w:sz w:val="26"/>
          <w:szCs w:val="26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3"/>
      <w:r>
        <w:rPr>
          <w:sz w:val="26"/>
          <w:szCs w:val="26"/>
        </w:rPr>
        <w:t xml:space="preserve">. </w:t>
      </w:r>
      <w:bookmarkEnd w:id="1"/>
      <w:bookmarkEnd w:id="2"/>
      <w:bookmarkEnd w:id="4"/>
    </w:p>
    <w:p>
      <w:pPr>
        <w:pStyle w:val="Style20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Style2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Ивантеевского</w:t>
      </w:r>
    </w:p>
    <w:p>
      <w:pPr>
        <w:pStyle w:val="Style20"/>
        <w:spacing w:before="0" w:after="0"/>
        <w:jc w:val="both"/>
        <w:rPr/>
      </w:pPr>
      <w:r>
        <w:rPr>
          <w:b/>
          <w:bCs/>
          <w:sz w:val="26"/>
          <w:szCs w:val="26"/>
        </w:rPr>
        <w:t>муниципального района                                                                  В.В. Басов</w:t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>
    <w:name w:val="Привязка сноски"/>
    <w:rPr>
      <w:vertAlign w:val="superscript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5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9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LibreOffice/6.3.4.2$Windows_x86 LibreOffice_project/60da17e045e08f1793c57c00ba83cdfce946d0aa</Application>
  <Pages>2</Pages>
  <Words>429</Words>
  <Characters>3121</Characters>
  <CharactersWithSpaces>3621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2022-09-01T09:39:41Z</cp:lastPrinted>
  <dcterms:modified xsi:type="dcterms:W3CDTF">2022-09-01T09:42:58Z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