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hanging="0" w:left="0" w:right="0"/>
        <w:spacing w:after="0" w:before="0" w:line="240" w:lineRule="exact"/>
      </w:pPr>
      <w:r>
        <w:rPr>
          <w:color w:val="00000A"/>
          <w:vertAlign w:val="baseline"/>
          <w:position w:val="0"/>
          <w:sz w:val="20"/>
          <w:sz w:val="28"/>
          <w:spacing w:val="0"/>
          <w:b/>
          <w:rFonts w:ascii="Times New Roman" w:cs="Times New Roman" w:eastAsia="Times New Roman" w:hAnsi="Times New Roman"/>
        </w:rPr>
        <w:t xml:space="preserve">СОВЕТ </w:t>
      </w:r>
    </w:p>
    <w:p>
      <w:pPr>
        <w:pStyle w:val="style0"/>
        <w:jc w:val="center"/>
        <w:ind w:hanging="0" w:left="0" w:right="0"/>
        <w:spacing w:after="0" w:before="0" w:line="240" w:lineRule="exact"/>
      </w:pPr>
      <w:r>
        <w:rPr>
          <w:color w:val="00000A"/>
          <w:vertAlign w:val="baseline"/>
          <w:position w:val="0"/>
          <w:sz w:val="20"/>
          <w:sz w:val="28"/>
          <w:spacing w:val="0"/>
          <w:b/>
          <w:rFonts w:ascii="Times New Roman" w:cs="Times New Roman" w:eastAsia="Times New Roman" w:hAnsi="Times New Roman"/>
        </w:rPr>
        <w:t xml:space="preserve">ЗНАМЕНСКОГО  МУНИЦИПАЛЬНОГО  ОБРАЗОВАНИЯ </w:t>
      </w:r>
    </w:p>
    <w:p>
      <w:pPr>
        <w:pStyle w:val="style0"/>
        <w:jc w:val="center"/>
        <w:ind w:hanging="0" w:left="0" w:right="0"/>
        <w:spacing w:after="0" w:before="0" w:line="240" w:lineRule="exact"/>
      </w:pPr>
      <w:r>
        <w:rPr>
          <w:color w:val="00000A"/>
          <w:vertAlign w:val="baseline"/>
          <w:position w:val="0"/>
          <w:sz w:val="20"/>
          <w:sz w:val="28"/>
          <w:spacing w:val="0"/>
          <w:b/>
          <w:rFonts w:ascii="Times New Roman" w:cs="Times New Roman" w:eastAsia="Times New Roman" w:hAnsi="Times New Roman"/>
        </w:rPr>
        <w:t>ИВАНТЕЕВСКОГО МУНИЦИПАЛЬНОГО РАЙОНА</w:t>
      </w:r>
    </w:p>
    <w:p>
      <w:pPr>
        <w:pStyle w:val="style0"/>
        <w:jc w:val="center"/>
        <w:ind w:hanging="0" w:left="0" w:right="0"/>
        <w:spacing w:after="0" w:before="0" w:line="240" w:lineRule="exact"/>
      </w:pPr>
      <w:r>
        <w:rPr>
          <w:color w:val="00000A"/>
          <w:vertAlign w:val="baseline"/>
          <w:position w:val="0"/>
          <w:sz w:val="20"/>
          <w:sz w:val="28"/>
          <w:spacing w:val="0"/>
          <w:b/>
          <w:rFonts w:ascii="Times New Roman" w:cs="Times New Roman" w:eastAsia="Times New Roman" w:hAnsi="Times New Roman"/>
        </w:rPr>
        <w:t>САРАТОВСКОЙ ОБЛАСТИ</w:t>
      </w:r>
    </w:p>
    <w:p>
      <w:pPr>
        <w:pStyle w:val="style0"/>
        <w:jc w:val="center"/>
        <w:ind w:hanging="0" w:left="0" w:right="0"/>
        <w:keepNext/>
        <w:spacing w:after="0" w:before="0" w:line="240" w:lineRule="exact"/>
      </w:pPr>
      <w:r>
        <w:rPr>
          <w:color w:val="00000A"/>
          <w:vertAlign w:val="baseline"/>
          <w:position w:val="0"/>
          <w:sz w:val="28"/>
          <w:sz w:val="28"/>
          <w:spacing w:val="0"/>
          <w:b/>
          <w:rFonts w:ascii="Times New Roman" w:cs="Times New Roman" w:eastAsia="Times New Roman" w:hAnsi="Times New Roman"/>
        </w:rPr>
      </w:r>
    </w:p>
    <w:p>
      <w:pPr>
        <w:pStyle w:val="style0"/>
        <w:jc w:val="center"/>
        <w:ind w:hanging="0" w:left="0" w:right="0"/>
        <w:keepNext/>
        <w:spacing w:after="0" w:before="0" w:line="240" w:lineRule="exact"/>
      </w:pPr>
      <w:r>
        <w:rPr>
          <w:color w:val="000000"/>
          <w:vertAlign w:val="baseline"/>
          <w:position w:val="0"/>
          <w:sz w:val="20"/>
          <w:sz w:val="28"/>
          <w:spacing w:val="0"/>
          <w:b/>
          <w:rFonts w:ascii="Times New Roman" w:cs="Times New Roman" w:eastAsia="Times New Roman" w:hAnsi="Times New Roman"/>
        </w:rPr>
        <w:t>Восемнадцатое заседание</w:t>
      </w:r>
      <w:r>
        <w:rPr>
          <w:color w:val="00000A"/>
          <w:vertAlign w:val="baseline"/>
          <w:position w:val="0"/>
          <w:sz w:val="20"/>
          <w:sz w:val="28"/>
          <w:spacing w:val="0"/>
          <w:b/>
          <w:rFonts w:ascii="Times New Roman" w:cs="Times New Roman" w:eastAsia="Times New Roman" w:hAnsi="Times New Roman"/>
        </w:rPr>
        <w:t xml:space="preserve"> второго созыва</w:t>
      </w:r>
    </w:p>
    <w:p>
      <w:pPr>
        <w:pStyle w:val="style0"/>
        <w:jc w:val="right"/>
        <w:tabs>
          <w:tab w:leader="none" w:pos="5480" w:val="left"/>
        </w:tabs>
        <w:ind w:hanging="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ab/>
      </w:r>
      <w:r>
        <w:rPr>
          <w:color w:val="00000A"/>
          <w:vertAlign w:val="baseline"/>
          <w:position w:val="0"/>
          <w:sz w:val="20"/>
          <w:sz w:val="28"/>
          <w:spacing w:val="0"/>
          <w:b/>
          <w:rFonts w:ascii="Times New Roman" w:cs="Times New Roman" w:eastAsia="Times New Roman" w:hAnsi="Times New Roman"/>
        </w:rPr>
        <w:t xml:space="preserve"> </w:t>
      </w:r>
    </w:p>
    <w:p>
      <w:pPr>
        <w:pStyle w:val="style0"/>
        <w:jc w:val="center"/>
        <w:ind w:hanging="0" w:left="0" w:right="0"/>
        <w:keepNext/>
        <w:spacing w:after="0" w:before="0" w:line="240" w:lineRule="exact"/>
      </w:pPr>
      <w:r>
        <w:rPr>
          <w:color w:val="00000A"/>
          <w:vertAlign w:val="baseline"/>
          <w:position w:val="0"/>
          <w:sz w:val="20"/>
          <w:sz w:val="28"/>
          <w:spacing w:val="0"/>
          <w:b/>
          <w:rFonts w:ascii="Times New Roman" w:cs="Times New Roman" w:eastAsia="Times New Roman" w:hAnsi="Times New Roman"/>
        </w:rPr>
        <w:t>Р Е Ш Е Н И Е № 27</w:t>
      </w:r>
    </w:p>
    <w:p>
      <w:pPr>
        <w:pStyle w:val="style0"/>
        <w:jc w:val="right"/>
        <w:tabs>
          <w:tab w:leader="none" w:pos="7305" w:val="left"/>
        </w:tabs>
        <w:ind w:hanging="0" w:left="0" w:right="0"/>
        <w:keepNext/>
        <w:spacing w:after="0" w:before="0" w:line="240" w:lineRule="exact"/>
      </w:pPr>
      <w:r>
        <w:rPr>
          <w:color w:val="00000A"/>
          <w:vertAlign w:val="baseline"/>
          <w:position w:val="0"/>
          <w:sz w:val="20"/>
          <w:sz w:val="28"/>
          <w:spacing w:val="0"/>
          <w:rFonts w:ascii="Times New Roman" w:cs="Times New Roman" w:eastAsia="Times New Roman" w:hAnsi="Times New Roman"/>
        </w:rPr>
        <w:tab/>
      </w:r>
    </w:p>
    <w:p>
      <w:pPr>
        <w:pStyle w:val="style0"/>
        <w:jc w:val="left"/>
        <w:ind w:hanging="0" w:left="0" w:right="0"/>
        <w:keepNext/>
        <w:spacing w:after="0" w:before="0" w:line="240" w:lineRule="exact"/>
      </w:pPr>
      <w:r>
        <w:rPr>
          <w:color w:val="000000"/>
          <w:vertAlign w:val="baseline"/>
          <w:position w:val="0"/>
          <w:sz w:val="20"/>
          <w:sz w:val="28"/>
          <w:spacing w:val="0"/>
          <w:rFonts w:ascii="Times New Roman" w:cs="Times New Roman" w:eastAsia="Times New Roman" w:hAnsi="Times New Roman"/>
        </w:rPr>
        <w:t>от 11.11.2009 года</w:t>
        <w:tab/>
        <w:tab/>
        <w:tab/>
        <w:tab/>
        <w:tab/>
        <w:tab/>
        <w:t>п. Знаменский</w:t>
      </w:r>
    </w:p>
    <w:p>
      <w:pPr>
        <w:pStyle w:val="style0"/>
        <w:jc w:val="both"/>
        <w:ind w:hanging="0" w:left="0" w:right="0"/>
        <w:spacing w:after="0" w:before="0" w:line="240" w:lineRule="exact"/>
      </w:pPr>
      <w:r>
        <w:rPr>
          <w:color w:val="00000A"/>
          <w:vertAlign w:val="baseline"/>
          <w:position w:val="0"/>
          <w:sz w:val="28"/>
          <w:sz w:val="28"/>
          <w:spacing w:val="0"/>
          <w:b/>
          <w:rFonts w:ascii="Times New Roman" w:cs="Times New Roman" w:eastAsia="Times New Roman" w:hAnsi="Times New Roman"/>
        </w:rPr>
      </w:r>
    </w:p>
    <w:p>
      <w:pPr>
        <w:pStyle w:val="style0"/>
        <w:jc w:val="both"/>
        <w:ind w:hanging="0" w:left="0" w:right="0"/>
        <w:spacing w:after="0" w:before="0" w:line="240" w:lineRule="exact"/>
      </w:pPr>
      <w:r>
        <w:rPr>
          <w:color w:val="00000A"/>
          <w:vertAlign w:val="baseline"/>
          <w:position w:val="0"/>
          <w:sz w:val="20"/>
          <w:sz w:val="28"/>
          <w:spacing w:val="0"/>
          <w:b/>
          <w:rFonts w:ascii="Times New Roman" w:cs="Times New Roman" w:eastAsia="Times New Roman" w:hAnsi="Times New Roman"/>
        </w:rPr>
        <w:t>Об утверждении</w:t>
      </w:r>
    </w:p>
    <w:p>
      <w:pPr>
        <w:pStyle w:val="style0"/>
        <w:jc w:val="both"/>
        <w:ind w:hanging="0" w:left="0" w:right="0"/>
        <w:spacing w:after="0" w:before="0" w:line="240" w:lineRule="exact"/>
      </w:pPr>
      <w:r>
        <w:rPr>
          <w:color w:val="00000A"/>
          <w:vertAlign w:val="baseline"/>
          <w:position w:val="0"/>
          <w:sz w:val="20"/>
          <w:sz w:val="28"/>
          <w:spacing w:val="0"/>
          <w:b/>
          <w:rFonts w:ascii="Times New Roman" w:cs="Times New Roman" w:eastAsia="Times New Roman" w:hAnsi="Times New Roman"/>
        </w:rPr>
        <w:t>Положения «О создании,</w:t>
      </w:r>
    </w:p>
    <w:p>
      <w:pPr>
        <w:pStyle w:val="style0"/>
        <w:jc w:val="both"/>
        <w:ind w:hanging="0" w:left="0" w:right="0"/>
        <w:spacing w:after="0" w:before="0" w:line="240" w:lineRule="exact"/>
      </w:pPr>
      <w:r>
        <w:rPr>
          <w:color w:val="00000A"/>
          <w:vertAlign w:val="baseline"/>
          <w:position w:val="0"/>
          <w:sz w:val="20"/>
          <w:sz w:val="28"/>
          <w:spacing w:val="0"/>
          <w:b/>
          <w:rFonts w:ascii="Times New Roman" w:cs="Times New Roman" w:eastAsia="Times New Roman" w:hAnsi="Times New Roman"/>
        </w:rPr>
        <w:t xml:space="preserve">развитии и сохранении </w:t>
      </w:r>
    </w:p>
    <w:p>
      <w:pPr>
        <w:pStyle w:val="style0"/>
        <w:jc w:val="both"/>
        <w:ind w:hanging="0" w:left="0" w:right="0"/>
        <w:spacing w:after="0" w:before="0" w:line="240" w:lineRule="exact"/>
      </w:pPr>
      <w:r>
        <w:rPr>
          <w:color w:val="00000A"/>
          <w:vertAlign w:val="baseline"/>
          <w:position w:val="0"/>
          <w:sz w:val="20"/>
          <w:sz w:val="28"/>
          <w:spacing w:val="0"/>
          <w:b/>
          <w:rFonts w:ascii="Times New Roman" w:cs="Times New Roman" w:eastAsia="Times New Roman" w:hAnsi="Times New Roman"/>
        </w:rPr>
        <w:t>зелёных насаждений на</w:t>
      </w:r>
    </w:p>
    <w:p>
      <w:pPr>
        <w:pStyle w:val="style0"/>
        <w:jc w:val="both"/>
        <w:ind w:hanging="0" w:left="0" w:right="0"/>
        <w:spacing w:after="0" w:before="0" w:line="240" w:lineRule="exact"/>
      </w:pPr>
      <w:r>
        <w:rPr>
          <w:color w:val="00000A"/>
          <w:vertAlign w:val="baseline"/>
          <w:position w:val="0"/>
          <w:sz w:val="20"/>
          <w:sz w:val="28"/>
          <w:spacing w:val="0"/>
          <w:b/>
          <w:rFonts w:ascii="Times New Roman" w:cs="Times New Roman" w:eastAsia="Times New Roman" w:hAnsi="Times New Roman"/>
        </w:rPr>
        <w:t>территории Знаменского</w:t>
      </w:r>
    </w:p>
    <w:p>
      <w:pPr>
        <w:pStyle w:val="style0"/>
        <w:jc w:val="both"/>
        <w:ind w:hanging="0" w:left="0" w:right="0"/>
        <w:spacing w:after="0" w:before="0" w:line="240" w:lineRule="exact"/>
      </w:pPr>
      <w:r>
        <w:rPr>
          <w:color w:val="00000A"/>
          <w:vertAlign w:val="baseline"/>
          <w:position w:val="0"/>
          <w:sz w:val="20"/>
          <w:sz w:val="28"/>
          <w:spacing w:val="0"/>
          <w:b/>
          <w:rFonts w:ascii="Times New Roman" w:cs="Times New Roman" w:eastAsia="Times New Roman" w:hAnsi="Times New Roman"/>
        </w:rPr>
        <w:t>муниципального образования</w:t>
      </w:r>
    </w:p>
    <w:p>
      <w:pPr>
        <w:pStyle w:val="style0"/>
        <w:jc w:val="both"/>
        <w:ind w:hanging="0" w:left="0" w:right="0"/>
        <w:spacing w:after="0" w:before="0" w:line="240" w:lineRule="exact"/>
      </w:pPr>
      <w:r>
        <w:rPr>
          <w:color w:val="00000A"/>
          <w:vertAlign w:val="baseline"/>
          <w:position w:val="0"/>
          <w:sz w:val="20"/>
          <w:sz w:val="28"/>
          <w:spacing w:val="0"/>
          <w:b/>
          <w:rFonts w:ascii="Times New Roman" w:cs="Times New Roman" w:eastAsia="Times New Roman" w:hAnsi="Times New Roman"/>
        </w:rPr>
        <w:t>Ивантеевского муниципального района</w:t>
      </w:r>
    </w:p>
    <w:p>
      <w:pPr>
        <w:pStyle w:val="style0"/>
        <w:jc w:val="both"/>
        <w:ind w:hanging="0" w:left="0" w:right="0"/>
        <w:spacing w:after="0" w:before="0" w:line="240" w:lineRule="exact"/>
      </w:pPr>
      <w:r>
        <w:rPr>
          <w:color w:val="00000A"/>
          <w:vertAlign w:val="baseline"/>
          <w:position w:val="0"/>
          <w:sz w:val="20"/>
          <w:sz w:val="28"/>
          <w:spacing w:val="0"/>
          <w:b/>
          <w:rFonts w:ascii="Times New Roman" w:cs="Times New Roman" w:eastAsia="Times New Roman" w:hAnsi="Times New Roman"/>
        </w:rPr>
        <w:t>Саратовской области»</w:t>
      </w:r>
    </w:p>
    <w:p>
      <w:pPr>
        <w:pStyle w:val="style0"/>
        <w:jc w:val="both"/>
        <w:ind w:hanging="0" w:left="0" w:right="0"/>
        <w:spacing w:after="0" w:before="0" w:line="240" w:lineRule="exact"/>
      </w:pPr>
      <w:r>
        <w:rPr>
          <w:color w:val="00000A"/>
          <w:vertAlign w:val="baseline"/>
          <w:position w:val="0"/>
          <w:sz w:val="28"/>
          <w:sz w:val="28"/>
          <w:spacing w:val="0"/>
          <w:b/>
          <w:rFonts w:ascii="Times New Roman" w:cs="Times New Roman" w:eastAsia="Times New Roman" w:hAnsi="Times New Roman"/>
        </w:rPr>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xml:space="preserve">В целях сохранения зелёных насаждений на территории Знаменского муниципального  образования Ивантеевского муниципального района Саратовской области и на основании статьи 19 Устава Знаменского муниципального  образования Ивантеевского муниципального района Совет </w:t>
      </w:r>
      <w:r>
        <w:rPr>
          <w:color w:val="00000A"/>
          <w:vertAlign w:val="baseline"/>
          <w:position w:val="0"/>
          <w:sz w:val="20"/>
          <w:sz w:val="28"/>
          <w:spacing w:val="0"/>
          <w:b/>
          <w:rFonts w:ascii="Times New Roman" w:cs="Times New Roman" w:eastAsia="Times New Roman" w:hAnsi="Times New Roman"/>
        </w:rPr>
        <w:t>РЕШИЛ:</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1. Утвердить Положение «О создании, развитии и сохранении зелёных насаждений на территории Знаменского муниципального  образования Ивантеевского муниципального района Саратовской области» (Прилагается).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2. Контроль за исполнением решения оставляю за собой.</w:t>
      </w:r>
    </w:p>
    <w:p>
      <w:pPr>
        <w:pStyle w:val="style0"/>
        <w:jc w:val="left"/>
        <w:ind w:hanging="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left"/>
        <w:ind w:hanging="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ind w:hanging="0" w:left="0" w:right="0"/>
        <w:spacing w:after="200" w:before="0" w:line="276" w:lineRule="exact"/>
      </w:pPr>
      <w:r>
        <w:rPr>
          <w:color w:val="00000A"/>
          <w:vertAlign w:val="baseline"/>
          <w:position w:val="0"/>
          <w:sz w:val="28"/>
          <w:sz w:val="28"/>
          <w:spacing w:val="0"/>
          <w:b/>
          <w:rFonts w:ascii="Times New Roman" w:cs="Times New Roman" w:eastAsia="Times New Roman" w:hAnsi="Times New Roman"/>
        </w:rPr>
      </w:r>
    </w:p>
    <w:p>
      <w:pPr>
        <w:pStyle w:val="style0"/>
        <w:jc w:val="both"/>
        <w:ind w:hanging="0" w:left="0" w:right="0"/>
        <w:spacing w:after="200" w:before="0" w:line="276" w:lineRule="exact"/>
      </w:pPr>
      <w:r>
        <w:rPr>
          <w:color w:val="00000A"/>
          <w:vertAlign w:val="baseline"/>
          <w:position w:val="0"/>
          <w:sz w:val="20"/>
          <w:sz w:val="28"/>
          <w:spacing w:val="0"/>
          <w:b/>
          <w:rFonts w:ascii="Times New Roman" w:cs="Times New Roman" w:eastAsia="Times New Roman" w:hAnsi="Times New Roman"/>
        </w:rPr>
        <w:t>Глава Знаменского муниципального образования</w:t>
      </w:r>
    </w:p>
    <w:p>
      <w:pPr>
        <w:pStyle w:val="style0"/>
        <w:jc w:val="both"/>
        <w:ind w:hanging="0" w:left="0" w:right="0"/>
        <w:spacing w:after="200" w:before="0" w:line="276" w:lineRule="exact"/>
      </w:pPr>
      <w:r>
        <w:rPr>
          <w:color w:val="00000A"/>
          <w:vertAlign w:val="baseline"/>
          <w:position w:val="0"/>
          <w:sz w:val="20"/>
          <w:sz w:val="28"/>
          <w:spacing w:val="0"/>
          <w:b/>
          <w:rFonts w:ascii="Times New Roman" w:cs="Times New Roman" w:eastAsia="Times New Roman" w:hAnsi="Times New Roman"/>
        </w:rPr>
        <w:t>Ивантеевского муниципального района</w:t>
        <w:tab/>
        <w:tab/>
        <w:t>В.И. Шабанов</w:t>
      </w:r>
    </w:p>
    <w:p>
      <w:pPr>
        <w:pStyle w:val="style0"/>
        <w:jc w:val="right"/>
        <w:ind w:hanging="0" w:left="0" w:right="0"/>
        <w:spacing w:after="200" w:before="0" w:line="276" w:lineRule="exact"/>
      </w:pPr>
      <w:r>
        <w:rPr>
          <w:color w:val="00000A"/>
          <w:vertAlign w:val="baseline"/>
          <w:position w:val="0"/>
          <w:sz w:val="20"/>
          <w:sz w:val="24"/>
          <w:spacing w:val="0"/>
          <w:rFonts w:ascii="Calibri" w:cs="Calibri" w:eastAsia="Calibri" w:hAnsi="Calibri"/>
        </w:rPr>
        <w:t>Приложение №1</w:t>
      </w:r>
    </w:p>
    <w:p>
      <w:pPr>
        <w:pStyle w:val="style0"/>
        <w:jc w:val="right"/>
        <w:ind w:hanging="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xml:space="preserve">к решению Совета Знаменского </w:t>
      </w:r>
    </w:p>
    <w:p>
      <w:pPr>
        <w:pStyle w:val="style0"/>
        <w:jc w:val="right"/>
        <w:ind w:hanging="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муниципального образования</w:t>
      </w:r>
    </w:p>
    <w:p>
      <w:pPr>
        <w:pStyle w:val="style0"/>
        <w:jc w:val="right"/>
        <w:ind w:hanging="0" w:left="0" w:right="0"/>
        <w:spacing w:after="0" w:before="0" w:line="240" w:lineRule="exact"/>
      </w:pPr>
      <w:r>
        <w:rPr>
          <w:color w:val="00000A"/>
          <w:vertAlign w:val="baseline"/>
          <w:position w:val="0"/>
          <w:sz w:val="20"/>
          <w:sz w:val="28"/>
          <w:spacing w:val="0"/>
          <w:rFonts w:ascii="Times New Roman" w:cs="Times New Roman" w:eastAsia="Times New Roman" w:hAnsi="Times New Roman"/>
        </w:rPr>
        <w:t>от 11.11.2009 г.</w:t>
      </w:r>
    </w:p>
    <w:p>
      <w:pPr>
        <w:pStyle w:val="style0"/>
        <w:jc w:val="center"/>
        <w:tabs>
          <w:tab w:leader="none" w:pos="4818" w:val="center"/>
          <w:tab w:leader="none" w:pos="6800" w:val="left"/>
        </w:tabs>
        <w:ind w:hanging="0" w:left="0" w:right="0"/>
        <w:spacing w:after="200" w:before="0" w:line="276" w:lineRule="exact"/>
      </w:pPr>
      <w:r>
        <w:rPr>
          <w:color w:val="00000A"/>
          <w:vertAlign w:val="baseline"/>
          <w:position w:val="0"/>
          <w:sz w:val="20"/>
          <w:sz w:val="28"/>
          <w:spacing w:val="0"/>
          <w:b/>
          <w:rFonts w:ascii="Times New Roman" w:cs="Times New Roman" w:eastAsia="Times New Roman" w:hAnsi="Times New Roman"/>
        </w:rPr>
        <w:t>Положение</w:t>
      </w:r>
    </w:p>
    <w:p>
      <w:pPr>
        <w:pStyle w:val="style0"/>
        <w:jc w:val="center"/>
        <w:ind w:hanging="0" w:left="0" w:right="0"/>
        <w:spacing w:after="0" w:before="0" w:line="240" w:lineRule="exact"/>
      </w:pPr>
      <w:r>
        <w:rPr>
          <w:color w:val="00000A"/>
          <w:vertAlign w:val="baseline"/>
          <w:position w:val="0"/>
          <w:sz w:val="20"/>
          <w:sz w:val="28"/>
          <w:spacing w:val="0"/>
          <w:b/>
          <w:rFonts w:ascii="Times New Roman" w:cs="Times New Roman" w:eastAsia="Times New Roman" w:hAnsi="Times New Roman"/>
        </w:rPr>
        <w:t>«О создании, развитии и сохранении зелёных насаждений на территории Знаменского муниципального образования  Ивантеевского муниципального района Саратовской области»</w:t>
      </w:r>
    </w:p>
    <w:p>
      <w:pPr>
        <w:pStyle w:val="style0"/>
        <w:jc w:val="center"/>
        <w:ind w:hanging="0" w:left="0" w:right="0"/>
        <w:spacing w:after="200" w:before="0" w:line="276" w:lineRule="exact"/>
      </w:pPr>
      <w:r>
        <w:rPr>
          <w:color w:val="00000A"/>
          <w:vertAlign w:val="baseline"/>
          <w:position w:val="0"/>
          <w:sz w:val="28"/>
          <w:sz w:val="28"/>
          <w:spacing w:val="0"/>
          <w:b/>
          <w:rFonts w:ascii="Times New Roman" w:cs="Times New Roman" w:eastAsia="Times New Roman" w:hAnsi="Times New Roman"/>
        </w:rPr>
      </w:r>
    </w:p>
    <w:p>
      <w:pPr>
        <w:pStyle w:val="style0"/>
        <w:jc w:val="center"/>
        <w:ind w:firstLine="720" w:left="0" w:right="0"/>
        <w:spacing w:after="200" w:before="0" w:line="276" w:lineRule="exact"/>
      </w:pPr>
      <w:r>
        <w:rPr>
          <w:color w:val="00000A"/>
          <w:vertAlign w:val="baseline"/>
          <w:position w:val="0"/>
          <w:sz w:val="20"/>
          <w:sz w:val="28"/>
          <w:spacing w:val="0"/>
          <w:b/>
          <w:rFonts w:ascii="Times New Roman" w:cs="Times New Roman" w:eastAsia="Times New Roman" w:hAnsi="Times New Roman"/>
        </w:rPr>
        <w:t>I. Общие положения</w:t>
      </w:r>
    </w:p>
    <w:p>
      <w:pPr>
        <w:pStyle w:val="style0"/>
        <w:jc w:val="both"/>
        <w:ind w:firstLine="72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1.1. Положение «О создании, развитии и сохранении зелёных насаждений» (далее – Положение) разработано в соответствии с Федеральным законом от 06.10.2003 года №131-ФЗ «Об общих принципах организации местного самоуправления в Российской Федерации», Градостроительным кодексом Российской Федерации, ГОСТом 28329-89 «Озеленение городов. Термины и определения», «Правилами создания, охраны и содержания зелёных насаждений в городах Российской Федерации», утверждёнными приказом Госстроя РФ от 15.12.1999 года №153, СНиП 12.01.2004 года «Организация строительства», Уставом муниципального образования.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1.2. Настоящее Положение разработано в целях регулирования органами местного самоуправления взаимоотношений, возникающих с физическими и юридическими лицами при обращении с зелёными насаждениями на территории муниципального образования.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1.3. Настоящее Положение распространяется на все озелененные территории муниципального образования за исключением насаждений, находящихся на земельных участках, принадлежащих гражданам и юридическим лицам на праве частной собственности.</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1.4. Система озеленения на территории муниципального образования создаётся и развивается в соответствии с градостроительными нормативами и правилами.</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Виды и режимы использования элементов системы озеленения определяются градостроительной документацией и разрабатываемыми на её основе специальными проектами и схемами развития системы озеленения.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1.5. Территории, покрытые древесно-кустарниковой и травянистой растительностью, находящиеся в черте муниципального образования, образуют единый зелёный фонд. Зелёные насаждения являются частью благоустройства и выполняют экологические, санитарно-гигиенические и рекреационные функции на территории муниципального образования.</w:t>
      </w:r>
    </w:p>
    <w:p>
      <w:pPr>
        <w:pStyle w:val="style0"/>
        <w:jc w:val="both"/>
        <w:ind w:firstLine="72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ind w:firstLine="720" w:left="0" w:right="0"/>
        <w:spacing w:after="200" w:before="0" w:line="276" w:lineRule="exact"/>
      </w:pPr>
      <w:r>
        <w:rPr>
          <w:color w:val="00000A"/>
          <w:vertAlign w:val="baseline"/>
          <w:position w:val="0"/>
          <w:sz w:val="20"/>
          <w:sz w:val="28"/>
          <w:spacing w:val="0"/>
          <w:b/>
          <w:rFonts w:ascii="Times New Roman" w:cs="Times New Roman" w:eastAsia="Times New Roman" w:hAnsi="Times New Roman"/>
        </w:rPr>
        <w:t>II. Основные понятия и термины, используемые в Положении</w:t>
      </w:r>
    </w:p>
    <w:p>
      <w:pPr>
        <w:pStyle w:val="style0"/>
        <w:jc w:val="left"/>
        <w:ind w:firstLine="72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Для целей настоящего Положения используются следующие основные понятия и термины:</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зелёные насаждения – древесно-кустарниковая и травянистая растительность естественного и искусственного происхождения, произрастающая на определённой территории;</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система озеленения территории – взаимосвязанное, равномерное размещение озелененных территорий, определяемое архитектурно-планировочной организацией муниципального образования и планом его дальнейшего развития, предусматривающее связь с насаждениями за территорией муниципального образования;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особо охраняемые природные территории – участок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определённых функций;</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повреждение зелёных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прекращения роста;</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уничтожение (снос) зелёных насаждений – повреждение зелёных насаждений, повлекшее прекращение роста;</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снос зелёных насаждений классифицируется на вынужденный и незаконный:</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вынужденный снос – снос деревьев (в том числе аварийных), кустарников, газонов и цветников, оформленный в установленном порядке. Выполнение вынужденного сноса необходимо в целях обеспечения условий</w:t>
        <w:tab/>
        <w:t xml:space="preserve"> для размещения объектов недвижимости, инженерного обеспечения, благоустройства, для обеспечения безопасности жизни людей и их имущества, а также в целях обеспечения нормативных требований к освещённости жилых и общественных помещений;</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снос зелёных насаждений без получения акта оценочной           комиссии – снос (повреждение) зелёных насаждений, изъятие (уничтожение) газонов, цветников и других элементов озеленения, входящих в состав зелёного фонда муниципального образования, произведённый с нарушением установленного настоящим Положением порядка;</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реконструкция зелёных насаждений – полная или частичная замена зелёных насаждений в случаях изменения требований к озеленению территории (изменение назначения территории, восстановление исторического облика территории, придание архитектурно-художественного облика зелёным массивам или иное);</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восстановительная стоимость – денежная оценка конкретных зелёных насаждений, устанавливаемая для учёта их ценности при повреждении или уничтожении. Восстановительная стоимость складывается из суммарного показателя сметной стоимости их  посадки, стоимости посадочного материала и ухода, обеспечивающего полное восстановление их декоративных экологических качеств;</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компенсационное озеленение – воспроизводство зелёных насаждений взамен уничтоженных или повреждённых;</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сорное растение – растение, не культивируемое в данном месте, но растущее на обрабатываемой территории вместе с культурным и отнимающее у последнего свет, влагу и питание;</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дикорастущее дерево – растущее в природных условиях, не выращиваемое человеком;</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самовольно посаженное дерево – дерево, посаженное с нарушением условий, изложенных в статье 4 данного Положения.</w:t>
      </w:r>
    </w:p>
    <w:p>
      <w:pPr>
        <w:pStyle w:val="style0"/>
        <w:jc w:val="both"/>
        <w:ind w:firstLine="72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ind w:firstLine="720" w:left="0" w:right="0"/>
        <w:spacing w:after="200" w:before="0" w:line="276" w:lineRule="exact"/>
      </w:pPr>
      <w:r>
        <w:rPr>
          <w:color w:val="00000A"/>
          <w:vertAlign w:val="baseline"/>
          <w:position w:val="0"/>
          <w:sz w:val="20"/>
          <w:sz w:val="28"/>
          <w:spacing w:val="0"/>
          <w:b/>
          <w:rFonts w:ascii="Times New Roman" w:cs="Times New Roman" w:eastAsia="Times New Roman" w:hAnsi="Times New Roman"/>
        </w:rPr>
        <w:t>III. Категории озеленённых территорий и особенности финансирования</w:t>
      </w:r>
    </w:p>
    <w:p>
      <w:pPr>
        <w:pStyle w:val="style0"/>
        <w:jc w:val="left"/>
        <w:ind w:firstLine="720" w:left="0" w:right="0"/>
        <w:spacing w:after="200" w:before="0" w:line="276" w:lineRule="exact"/>
      </w:pPr>
      <w:r>
        <w:rPr>
          <w:color w:val="00000A"/>
          <w:vertAlign w:val="baseline"/>
          <w:position w:val="0"/>
          <w:sz w:val="28"/>
          <w:sz w:val="28"/>
          <w:spacing w:val="0"/>
          <w:b/>
          <w:rFonts w:ascii="Times New Roman" w:cs="Times New Roman" w:eastAsia="Times New Roman" w:hAnsi="Times New Roman"/>
        </w:rPr>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3.1. Выделяются три основных категории озеленённых территорий, каждая из которых имеет свои особенности по отношению к гражданскому обороту (отношения к собственности, продажа, аренда), режимам пользования и способам хозяйствования: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озеленённые территории общего пользования – территории, используемые для рекреации всего населения проживающего на территории муниципального образования. Расчёт потребности в них рассчитывается на всё население или население планировочного или жилого района плюс так называемое «временное население» - приезжие, туристы, иногородние торговцы и так далее;</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озеленённые территории ограниченного пользования –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определёнными  группами населения;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озеленённые территории специального назначения – санитарнозащитные, водоохранные, защитно-мелиоративные зоны, кладбища, насаждения вдоль автомобильных и железных дорог, питомники, цветочно-оранжерейные хозяйства, территории, относящиеся к особо охраняемым природным территориям местного значения. Расчёт потребности в озеленённых территориях данной категории ведётся с учётом их функционального назначения.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3.2. Объекты, входящие в категорию озеленённых территорий общего пользования, имеют самостоятельное финансирование и входят в титульный список проектирования и строительства как самостоятельные объекты и финансируются из бюджета муниципального образования.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3.3. Озеленённые территории ограниченного пользования финансируются за счёт того объекта, при котором они создаются. Озеленение групп жилых домов,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и используются строго по назначению.</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3.4. Объекты, входящие в категорию озеленённых территорий специального назначения, могут иметь адресное финансирование или финансироваться как объекты озеленения ограниченного пользования.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3.5. В случаях личной инициативы допускается финансирование объектов, указанных в пункте 3.1., за счёт средств юридических и физических лиц.</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3.6. Бремя содержания зелёных насаждений, расположенных на территории муниципального образования , возлагается: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озеленённые территории общего пользования и территории  кладбищ – на уполномоченный администрацией муниципального образования орган;</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озеленённые территории ограниченного и специального назначения (кроме кладбищ) – на владельцев объектов, при которых создаются озеленённые территории.</w:t>
      </w:r>
    </w:p>
    <w:p>
      <w:pPr>
        <w:pStyle w:val="style0"/>
        <w:jc w:val="both"/>
        <w:ind w:firstLine="720" w:left="0" w:right="0"/>
        <w:spacing w:after="200" w:before="0" w:line="276" w:lineRule="exact"/>
      </w:pPr>
      <w:r>
        <w:rPr>
          <w:color w:val="00000A"/>
          <w:vertAlign w:val="baseline"/>
          <w:position w:val="0"/>
          <w:sz w:val="28"/>
          <w:sz w:val="28"/>
          <w:spacing w:val="0"/>
          <w:b/>
          <w:rFonts w:ascii="Times New Roman" w:cs="Times New Roman" w:eastAsia="Times New Roman" w:hAnsi="Times New Roman"/>
        </w:rPr>
      </w:r>
    </w:p>
    <w:p>
      <w:pPr>
        <w:pStyle w:val="style0"/>
        <w:jc w:val="center"/>
        <w:ind w:firstLine="720" w:left="0" w:right="0"/>
        <w:spacing w:after="200" w:before="0" w:line="276" w:lineRule="exact"/>
      </w:pPr>
      <w:r>
        <w:rPr>
          <w:color w:val="00000A"/>
          <w:vertAlign w:val="baseline"/>
          <w:position w:val="0"/>
          <w:sz w:val="20"/>
          <w:sz w:val="28"/>
          <w:spacing w:val="0"/>
          <w:b/>
          <w:rFonts w:ascii="Times New Roman" w:cs="Times New Roman" w:eastAsia="Times New Roman" w:hAnsi="Times New Roman"/>
        </w:rPr>
        <w:t>IV. Создание и развитие зелёного фонда</w:t>
      </w:r>
    </w:p>
    <w:p>
      <w:pPr>
        <w:pStyle w:val="style0"/>
        <w:jc w:val="both"/>
        <w:ind w:firstLine="72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4.1. Создание и развитие озеленённых территорий общего пользования осуществляется в строгом соответствии с Генеральным планом муниципального образования, градостроительной и проектной документацией.</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4.2. Создание и развитие озеленённых территорий насаждений ограниченного пользования осуществляется в строгом соответствии с проектной документацией, а также с учётом существующей и перспективной схемой коммуникацией, перспективной градостроительной ситуации.</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4.3. Создание и развитие озеленённых территорий специального назначения осуществляется в порядке, установленном соответствующими нормативами и правилами, и в строгом соответствии с проектной документацией.</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4.4. Производство работ по созданию и развитию озеленённых территорий осуществляется согласно проектной документации, разработанной в соответствии с действующим законодательством.</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4.5. Компенсационное озеленение является обязательным во всех случаях сноса, изъятия, уничтожения зелёных насаждений и производится в ближайший сезон, подходящий для высадки зелёных насаждений.</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Видовой состав и возраст высаживаемых деревьев и кустарников согласовывается с  администрацией муниципального образования.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4.6. Все работы на территории муниципального образования по созданию и развитию озеленённых территорий осуществляется специализированными организациями.</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Послепосадочный уход за посадками в течение года обеспечивается производителем работ по посадке зелёных насаждений.</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4.7. При проектировании строительства, реконструкции или капитального ремонта объектов необходимо предусматривать озеленение откосов, подпорных стенок, глухих торцов и стен зданий крытых автостоянок, выступающих над поверхностью земли сооружений инженерных коммуникаций, упрощенных и глухих ограждений территорий с использованием вьющихся, ползучих и стелющихся растений.</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При отсутствии естественного озеленения территорий, прилегающих к предприятиям и организациям, осуществляющим хозяйственную и иную деятельность, необходимо предусматривать дополнительное озеленение в виде вазонов и цветочниц.</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Для сохранения единой концепции озеленения муниципального образования, соблюдения экологических требований данный вид  работ согласовывается администрацией муниципального образования.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4.8. Разрешается посадка цветов в порядке личной инициативы граждан на балконах, а также у входов в жилые дома и на личных приусадебных участках.</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4.9. Допускается посадка деревьев и кустарников отдельными гражданами, объединениями граждан только на территориях общего и ограниченного (в жилой многоэтажной застройке) пользования при условии получения в администрации муниципального образования и организацией, содержащей зелёные насаждения.</w:t>
      </w:r>
    </w:p>
    <w:p>
      <w:pPr>
        <w:pStyle w:val="style0"/>
        <w:jc w:val="both"/>
        <w:ind w:firstLine="72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ind w:firstLine="720" w:left="0" w:right="0"/>
        <w:spacing w:after="200" w:before="0" w:line="276" w:lineRule="exact"/>
      </w:pPr>
      <w:r>
        <w:rPr>
          <w:color w:val="00000A"/>
          <w:vertAlign w:val="baseline"/>
          <w:position w:val="0"/>
          <w:sz w:val="20"/>
          <w:sz w:val="28"/>
          <w:spacing w:val="0"/>
          <w:b/>
          <w:rFonts w:ascii="Times New Roman" w:cs="Times New Roman" w:eastAsia="Times New Roman" w:hAnsi="Times New Roman"/>
        </w:rPr>
        <w:t>V. Обеспечение сохранения зелёного фонда муниципального  образования</w:t>
      </w:r>
    </w:p>
    <w:p>
      <w:pPr>
        <w:pStyle w:val="style0"/>
        <w:jc w:val="center"/>
        <w:ind w:firstLine="720" w:left="0" w:right="0"/>
        <w:spacing w:after="200" w:before="0" w:line="276" w:lineRule="exact"/>
      </w:pPr>
      <w:r>
        <w:rPr>
          <w:color w:val="00000A"/>
          <w:vertAlign w:val="baseline"/>
          <w:position w:val="0"/>
          <w:sz w:val="28"/>
          <w:sz w:val="28"/>
          <w:spacing w:val="0"/>
          <w:b/>
          <w:rFonts w:ascii="Times New Roman" w:cs="Times New Roman" w:eastAsia="Times New Roman" w:hAnsi="Times New Roman"/>
        </w:rPr>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5.1. Охране подлежат все зелёные насаждения, произрастающие в границах муниципального образования.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Исключения составляют зелёные насаждения: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расположенные в охранных зонах линий коммуникаций;</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погибшие по естественным причинам;</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появившиеся в результате деятельности граждан и юридических лиц на участках, находящихся в их собственности.</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5.2. Пользователь земельных участков, на которых расположены зелёные насаждения (кроме вышеперечисленных исключений), обязаны осуществлять контроль за их состоянием, обеспечивать уход, нормальное развитие и замену погибших экземпляров.</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5.3. При разработке проектной документации, строительстве и эксплуатации объектов, магистральных сетей и головных сооружений инженерной инфраструктуры, а также при проведении работ по инженерной подготовке территорий должны разрабатываться мероприятия по максимальному сокращению сноса зелёных насаждений и других элементов зелёного фонда.</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5.4. Застройщики (заказчики), получающие под строительство или капитальный ремонт территории, занятые зелёными насаждениями, подлежащими сохранению на участках для дальнейшего произрастания, обязаны передавать группы деревьев или отдельные деревья по акту администрации муниципального образования подрядным строительным и ремонтным организациям.</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Строительные и ремонтные организации под письменную гарантию производителя работ обязаны принимать меры по защите и ограждению принятых по акту деревьев при работе транспорта, механизмов и при складировании материалов.</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5.5. В целях активизации борьбы с сорными растениями все землепользователи, независимо от форм собственности, обязаны регулярно уничтожать все сорные растения на своих территориях и не допускать их произрастания в дальнейшем.</w:t>
      </w:r>
    </w:p>
    <w:p>
      <w:pPr>
        <w:pStyle w:val="style0"/>
        <w:jc w:val="both"/>
        <w:ind w:firstLine="72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ind w:firstLine="720" w:left="0" w:right="0"/>
        <w:spacing w:after="200" w:before="0" w:line="276" w:lineRule="exact"/>
      </w:pPr>
      <w:r>
        <w:rPr>
          <w:caps/>
          <w:color w:val="00000A"/>
          <w:vertAlign w:val="baseline"/>
          <w:position w:val="0"/>
          <w:sz w:val="20"/>
          <w:sz w:val="28"/>
          <w:spacing w:val="0"/>
          <w:b/>
          <w:rFonts w:ascii="Times New Roman" w:cs="Times New Roman" w:eastAsia="Times New Roman" w:hAnsi="Times New Roman"/>
        </w:rPr>
        <w:t xml:space="preserve">VI. </w:t>
      </w:r>
      <w:r>
        <w:rPr>
          <w:color w:val="00000A"/>
          <w:vertAlign w:val="baseline"/>
          <w:position w:val="0"/>
          <w:sz w:val="20"/>
          <w:sz w:val="28"/>
          <w:spacing w:val="0"/>
          <w:b/>
          <w:rFonts w:ascii="Times New Roman" w:cs="Times New Roman" w:eastAsia="Times New Roman" w:hAnsi="Times New Roman"/>
        </w:rPr>
        <w:t xml:space="preserve"> Строительство объектов на территории зелёного фонда </w:t>
      </w:r>
    </w:p>
    <w:p>
      <w:pPr>
        <w:pStyle w:val="style0"/>
        <w:jc w:val="both"/>
        <w:ind w:firstLine="72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6.1. Озеленённые территории общего пользования должны быть благоустроены и оборудованы малыми архитектурными формами: фонтанами, лестницами, пандусами, скамейками, урнами для мусора, светильниками и иными формами.</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На бульварах и пешеходных аллеях следует предусматривать площадки для кратковременного отдыха со скамейками, светильниками, урнами для мусора и так далее.</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6.2. Все работы по новому строительству, реконструкции и капитальному ремонту, связанные с производством земляных работ, могут осуществляться только после получения разрешения, оформленного в установленном порядке.</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6.3. Строительные или другие организации, осуществляющие работы, связанные с нарушением почвенного слоя, обязаны снять и сохранить плодородный слой почвы для использования его в зелёном строительстве, а также восстановить прилегающие земельные участки и зелёные насаждения, нарушенные при производстве работ, в сроки, опредёлённые разрешительной документацией.</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6.4.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 выветривания и смешивания с нижележащим нерастительным грунтом.</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6.5. Временные сооружения сезонного характера (летние кафе, сезонные аттракционы и иные) должны размещаться на сезон, согласно разрешению, выданному в установленном порядке.</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По окончании сезона владельцами временных сооружений проводятся мероприятия по рекультивации нарушенных земельных участков с восстановлением земляного покрова. Данный вид работ проводится собственными силами, либо силами специализированных мероприятий за счёт средств владельца временного сооружения на основании соответствующих договоров.</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6.6. На особо охраняемых природных территориях не допускаются действия, причиняющие вред природным объектам.</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6.7. При осуществлении строительства и реконструкции зданий, строений, сооружений и иных объектов заказчиком (застройщиком) принимаются меры по охране зелёных насаждений, попадающих в зону производства работ и не подлежащих сносу. Акт передачи зелёных насаждений, подлежащих сохранению на участке строительства, согласовывается администрацией муниципального образования.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 случае невозможности сохранения зелёных насаждений на участках, отводимых под строительство или производство других работ, застройщик обязан в соответствии с пунктом 4.5. настоящего Положения за счёт собственных средств заключить договор со специализированной организацией на выполнение всех видов работ по пересадке зелёных насаждений до полной приживаемости и оплатить восстановительную стоимость зелёных насаждений, попадающих под снос, в соответствии с пунктами 7.4 и 8.2 настоящего Положения.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6.8. Вывоз срубленных деревьев и порубочных остатков осуществляется производителем работ в трёхдневный срок с момента начала работ.</w:t>
      </w:r>
    </w:p>
    <w:p>
      <w:pPr>
        <w:pStyle w:val="style0"/>
        <w:jc w:val="both"/>
        <w:ind w:firstLine="72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left"/>
        <w:ind w:firstLine="720" w:left="0" w:right="0"/>
        <w:spacing w:after="200" w:before="0" w:line="276" w:lineRule="exact"/>
      </w:pPr>
      <w:r>
        <w:rPr>
          <w:caps/>
          <w:color w:val="00000A"/>
          <w:vertAlign w:val="baseline"/>
          <w:position w:val="0"/>
          <w:sz w:val="20"/>
          <w:sz w:val="28"/>
          <w:spacing w:val="0"/>
          <w:b/>
          <w:rFonts w:ascii="Times New Roman" w:cs="Times New Roman" w:eastAsia="Times New Roman" w:hAnsi="Times New Roman"/>
        </w:rPr>
        <w:t xml:space="preserve">VII. </w:t>
      </w:r>
      <w:r>
        <w:rPr>
          <w:color w:val="00000A"/>
          <w:vertAlign w:val="baseline"/>
          <w:position w:val="0"/>
          <w:sz w:val="20"/>
          <w:sz w:val="28"/>
          <w:spacing w:val="0"/>
          <w:b/>
          <w:rFonts w:ascii="Times New Roman" w:cs="Times New Roman" w:eastAsia="Times New Roman" w:hAnsi="Times New Roman"/>
        </w:rPr>
        <w:t>Порядок вынужденного сноса зелёных насаждений</w:t>
      </w:r>
    </w:p>
    <w:p>
      <w:pPr>
        <w:pStyle w:val="style0"/>
        <w:jc w:val="both"/>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7.1. Оформление протоколов о самовольном повреждении и уничтожении зелёных насаждений осуществляется инспекторами экологической службой муниципального образования или другими компетентными органами.</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7.2. Вынужденный снос зелёных насаждений допускается в случаях:</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строительства, реконструкции и ремонта объектов, прокладки и ремонта подземных коммуникаций;</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санитарных рубок и реконструкции зелёных насаждений;</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удаление аварийных деревьев и кустарников;</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восстановления нормативного светового режима в жилых и нежилых помещениях, затеняемых деревьями (только при наличии заключения органов санитарно-эпидемиологического надзора);</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устранение последствий ураганов, землетрясений и других стихийных бедствий.</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7.3. При проведении работ, указанных в пункте 7.1, целесообразность вынужденного сноса, обрезки или пересадки зелёных насаждений рассматривает оценочная комиссия с составлением соответствующего акта.</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 состав оценочной комиссии, создаваемой на основании распоряжения Главы администрации, входят представители следующих служб:</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_______________________(председатель комиссии);</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_______________________ ;</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_______________________.</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 работе комиссии принимают участие заказчики (застройщики).</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7.4. Снос зелёных насаждений при строительстве и реконструкции, снос и обрезка крупных экземпляров деревьев, выполняющих ландшафтно-образующую роль (в центральной части населённого пункта, парках, скверах и так далее), согласовывается с администрацией муниципального образования.</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7.5. При вынужденном сносе зелёных насаждений после составления комиссией акта уполномоченный администрацией муниципального образования орган производит расчёт стоимости возмещения ущерба (восстановительной стоимости).</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При сносе (повреждении) зелёных насаждений, с нарушением установленного настоящим Положением порядка, расчёт стоимости возмещения ущерба производится уполномоченным администрацией муниципального образования органом.</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7.6. Снос единичных деревьев (в количестве до 10 штук) и других зелёных насаждений производится на основании акта оценочной комиссии, согласованного с соответствующими службами, утвержденного председателем комиссии, и только после полной оплаты стоимости возмещения ущерба восстановительной стоимости).</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7.7. Снос деревьев в количестве более 10 штук производится после выполнения пункта 7.5. настоящего Положения и на основании распоряжения администрации муниципального образования.</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7.8. Снос зелёных насаждений и объектов благоустройства, расположенных на них, осуществляется за счёт средств заказчика (застройщика).</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7.9. Снос зелёных насаждений при производстве аварийно-восстановительных работ, не терпящий отлагательств, может быть произведён без получения разрешения на снос зелёных насаждений. В этом случае юридические и физические лица, производящие аварийно-восстановительные работы, обязаны в течение 24 часов с момента начала производства работ (без учёта выходных и праздничных дней) – оформить акт на снос деревьев.</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Производство плановых работ под предлогом аварийных запрещается.</w:t>
      </w:r>
    </w:p>
    <w:p>
      <w:pPr>
        <w:pStyle w:val="style0"/>
        <w:jc w:val="both"/>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ind w:firstLine="708" w:left="0" w:right="0"/>
        <w:spacing w:after="200" w:before="0" w:line="276" w:lineRule="exact"/>
      </w:pPr>
      <w:r>
        <w:rPr>
          <w:caps/>
          <w:color w:val="00000A"/>
          <w:vertAlign w:val="baseline"/>
          <w:position w:val="0"/>
          <w:sz w:val="20"/>
          <w:sz w:val="28"/>
          <w:spacing w:val="0"/>
          <w:b/>
          <w:rFonts w:ascii="Times New Roman" w:cs="Times New Roman" w:eastAsia="Times New Roman" w:hAnsi="Times New Roman"/>
        </w:rPr>
        <w:t xml:space="preserve">VIII. </w:t>
      </w:r>
      <w:r>
        <w:rPr>
          <w:color w:val="00000A"/>
          <w:vertAlign w:val="baseline"/>
          <w:position w:val="0"/>
          <w:sz w:val="20"/>
          <w:sz w:val="28"/>
          <w:spacing w:val="0"/>
          <w:b/>
          <w:rFonts w:ascii="Times New Roman" w:cs="Times New Roman" w:eastAsia="Times New Roman" w:hAnsi="Times New Roman"/>
        </w:rPr>
        <w:t>Порядок расчёта восстановительной стоимости при вынужденном и незаконном сносе или повреждении зелёных насаждений</w:t>
      </w:r>
    </w:p>
    <w:p>
      <w:pPr>
        <w:pStyle w:val="style0"/>
        <w:jc w:val="left"/>
        <w:ind w:hanging="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8.1. Убытки, причинённые повреждением или уничтожением зелёных насаждений, входящих в систему озеленения территории муниципального образования, за исключением зелёных насаждений, находящихся на земельных участках, принадлежащих гражданам и юридическим лицам на праве частной собственности, подлежат возмещению в полном объёме.</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8.2. При отсутствии добровольного возмещения убытков лицами, причинившими вред муниципальному образованию, посредством повреждения или уничтожения (сноса) зелёных насаждений, входящих в систему озеленения территории муниципального образования, убытки взыскиваются в судебном порядке в зависимости от характера уничтожения (сноса) органами, указанными в пункте 7.4, согласно расчётам, установленным настоящим Положением.</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8.3. Расчёт восстановительной стоимости при вынужденном сносе зелёных насаждений (Вс):</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8.3.1. Деревья:</w:t>
      </w:r>
    </w:p>
    <w:p>
      <w:pPr>
        <w:pStyle w:val="style0"/>
        <w:jc w:val="center"/>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Вс1= Е х Кд х Км х Кс х N, где    (1)</w:t>
      </w:r>
    </w:p>
    <w:p>
      <w:pPr>
        <w:pStyle w:val="style0"/>
        <w:jc w:val="both"/>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Е – фактическая стоимость саженца в текущих ценах (утверждается ежегодно постановлением Главы муниципального образования), единовременные затраты по очистке и планировке территорий, посадке деревьев, текущие затраты на уход, накладные расходы, плановая прибыль, НДС;</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Кд – коэффициент, отражающий диаметр сносимого дерева.</w:t>
      </w:r>
    </w:p>
    <w:p>
      <w:pPr>
        <w:pStyle w:val="style0"/>
        <w:jc w:val="center"/>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Кд = 1 + Д / 100, где    (1а)</w:t>
      </w:r>
    </w:p>
    <w:p>
      <w:pPr>
        <w:pStyle w:val="style0"/>
        <w:jc w:val="left"/>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Д – диаметр сносимого дерева (см);</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Км – коэффициент, отражающий местонахождение:</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Км = 2 – для озеленённых территорий общего пользования;</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Км = 1,5 - для озеленённых территорий ограниченного пользования;</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Км = 1,5 - для озеленённых территорий специального назначения, кроме особо охраняемых природных территорий местного значения;</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Км =0,5 – для зелёных насаждений, расположенных в охранных зонах инженерных коммуникаций;</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Км = 3 – для территорий города, относящихся к особо охраняемым природным территориям местного значения;</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Кс – коэффициент, отражающий качественное состояние зелёных насаждений:</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Кс =1 - для зелёных насаждений в хорошем состоянии;</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Кс =0,8 – для зелёных насаждений в удовлетворительном состоянии;</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Кс = 0,5 – для зелёных насаждений в неудовлетворительном состоянии;</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Качественное состояние деревьев (диаметр ствола на высоте                  1,3 м – 8 и более см) определяется по следующим признакам:</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хорошее – деревья здоровые, нормально развитые, признаков болезней и вредителей нет; повреждений ствола и скелетных ветвей, ран и дупел нет;</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удовлетворительное – деревья здоровые, но с замедленным ростом, неравномерно развитой кроной, недостаточно облиственные с наличием незначительных повреждений и небольших дупел;</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неудовлетворительные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суховершинность; механические повреждения ствола значительные, имеются дупла.</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N – количество сносимых деревьев.</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Кронирование (посадка на пень) деревьев приравнивается к причинению значительного вреда дереву. Восстановительная стоимость в этом случае рассчитывается:</w:t>
      </w:r>
    </w:p>
    <w:p>
      <w:pPr>
        <w:pStyle w:val="style0"/>
        <w:jc w:val="center"/>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Вс2 = Вс 1 / 2.    (2)</w:t>
      </w:r>
    </w:p>
    <w:p>
      <w:pPr>
        <w:pStyle w:val="style0"/>
        <w:jc w:val="both"/>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 случае гибели раннее кронированного дерева ответственность возлагается на заказчиков (застройщиков), производивших работы по кронированию дерева. Восстановительная стоимость ранее кронированного дерева:</w:t>
      </w:r>
    </w:p>
    <w:p>
      <w:pPr>
        <w:pStyle w:val="style0"/>
        <w:jc w:val="center"/>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Вс3 = Вс2.  (3)</w:t>
      </w:r>
    </w:p>
    <w:p>
      <w:pPr>
        <w:pStyle w:val="style0"/>
        <w:jc w:val="both"/>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8.3.2. Кустарники:</w:t>
      </w:r>
    </w:p>
    <w:p>
      <w:pPr>
        <w:pStyle w:val="style0"/>
        <w:jc w:val="both"/>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ВС4 = Е х Кв х Км х Кс х N, где  (4)</w:t>
      </w:r>
    </w:p>
    <w:p>
      <w:pPr>
        <w:pStyle w:val="style0"/>
        <w:jc w:val="center"/>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Е – фактическая стоимость саженца в текущих ценах, единовременные затраты по очистке и планировке территорий, посадке кустарника, текущие затраты на уход, накладные расходы, плановая прибыль, НДС;</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Кв – коэффициент, отражающий возраст кустарника:</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Кв = 1,5 – возраст кустарника до 5 лет;</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Кв = 2 – возраст кустарника 5-10 лет;</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Кв = 2,5 возраст кустарника более 10 лет;</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Км – коэффициент, отражающий местонахождение (см. подпункт 8.3.1 настоящего Положения);</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Кс - коэффициент, отражающий качественное состояние зелёных насаждений (см. подпункт 8.3.1. настоящего Положения).</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Качественное состояние кустарника определяется по следующим признакам:</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хорошее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неудовлетворительное – ослабленные, переросшие, сильно оголённые снизу, листва мелкая, имеются усохшие ветви и слабо облиственные, с сильными механическими повреждениями, поражение болезнями.</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N – количество сносимых кустарников.</w:t>
      </w:r>
    </w:p>
    <w:p>
      <w:pPr>
        <w:pStyle w:val="style0"/>
        <w:jc w:val="both"/>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8.3.3. Газон:</w:t>
      </w:r>
    </w:p>
    <w:p>
      <w:pPr>
        <w:pStyle w:val="style0"/>
        <w:jc w:val="center"/>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Вс5 = Е х Км х Кс х N, где (5)</w:t>
      </w:r>
    </w:p>
    <w:p>
      <w:pPr>
        <w:pStyle w:val="style0"/>
        <w:jc w:val="center"/>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ab/>
        <w:t>Е – фактическая стоимость посадочного материала в текущих ценах, единовременные затраты по очистке и планировке территорий, посадке газона, текущие затраты на уход, накладные расходы, плановая прибыль, НДС;</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Км – коэффициент, отражающий местонахождение (см. подпункт 8.3.1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Кс – коэффициент, отражающий качественное состояние зелёных насаждений (см. подпункт 8.3.1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Качественное состояние газонов определяют по следующим признакам:</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хорошее – поверхность хорошо спланирована, травостой густой, однородный, равномерный, регулярно стригущийся, цвет интенсивно-зелёный; сорняков и мха нет;</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удовлетворительное – поверхность газона с заметными неровностями, травостой неровный, с примесью сорняков, нерегулярно стригущийся, цвет зелёный, плешин и вытоптанных мест нет;</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неудовлетворительное – травостой изреженный, неоднородный, много широколистных сорняков, много мха, плешин, вытоптанных мест.</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N – площадь изъятого газона.</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8.3.4. Цветники:</w:t>
      </w:r>
    </w:p>
    <w:p>
      <w:pPr>
        <w:pStyle w:val="style0"/>
        <w:jc w:val="center"/>
        <w:tabs>
          <w:tab w:leader="none" w:pos="945" w:val="left"/>
        </w:tabs>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Вс6 = Е х Км х Кс х N, где  (6)</w:t>
      </w:r>
    </w:p>
    <w:p>
      <w:pPr>
        <w:pStyle w:val="style0"/>
        <w:jc w:val="both"/>
        <w:tabs>
          <w:tab w:leader="none" w:pos="945" w:val="left"/>
        </w:tabs>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Е – фактическая стоимость посадочного материала в текущих ценах, единовременные затраты по очистке и планировке территорий, посадке цветников, текущие затраты на уход, накладные расходы, плановая прибыль, НДС;</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Км – коэффициент, отражающий местонахождение (см. подпункт 8.3.1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Кс – коэффициент, отражающий качественное состояние зелёных насаждений (см. подпункт 8.3.1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Качественное состояние цветников из многолетних растений определяют по следующим признакам:</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хорошее – поверхность тщательно спланирована, почва хорошо удобрена, растения хорошо развиты, равные по качеству, отпада нет, уход регулярный, сорняков нет;</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удовлетворительное – поверхность грубо спланирована, с заметными неровностями, почва слабо удобрена, растения нормально развиты, отпад заметен, сорняки единичны, ремонт цветников нерегулярный;</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неудовлетворительное – почва не удобрена, поверхность спланирована грубо, растения слабо развиты, отпад значительный, сорняков много.</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N – площадь сносимого цветника.</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8.4. Расчёт восстановительной стоимости за причинение вреда зелёным насаждениям (Вв):</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8.4.1. Деревья:</w:t>
      </w:r>
    </w:p>
    <w:p>
      <w:pPr>
        <w:pStyle w:val="style0"/>
        <w:jc w:val="center"/>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Вв 1 = Вс 1 / Кд х Кп, где  (7)</w:t>
      </w:r>
    </w:p>
    <w:p>
      <w:pPr>
        <w:pStyle w:val="style0"/>
        <w:jc w:val="center"/>
        <w:tabs>
          <w:tab w:leader="none" w:pos="945" w:val="left"/>
        </w:tabs>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Вс1 и Кд (см. подпункт 8.3.1.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Кп – коэффициент, учитывающий степень повреждения: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Кп = 0,1 при уничтожении нижних ветвей;</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Кп =0,2 при незначительном повреждении ствола;</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Кп = 0,3 при повреждении корней;</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Кп = 0,4 в случаях обдиры коры.</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 случаях нанесения нескольких повреждений коэффициент Кп суммируется и его величина может доходить до 1.</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Кп = 2 – при незначительном повреждении, повлекшем гибель растения.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8.4.2. Кустарники:</w:t>
      </w:r>
    </w:p>
    <w:p>
      <w:pPr>
        <w:pStyle w:val="style0"/>
        <w:jc w:val="both"/>
        <w:tabs>
          <w:tab w:leader="none" w:pos="945" w:val="left"/>
        </w:tabs>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Вв2 = Вс4 / Кв х Кп, где (8)</w:t>
      </w:r>
    </w:p>
    <w:p>
      <w:pPr>
        <w:pStyle w:val="style0"/>
        <w:jc w:val="center"/>
        <w:tabs>
          <w:tab w:leader="none" w:pos="945" w:val="left"/>
        </w:tabs>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Вс4 и Кв (см. подпункт 8.3.2.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Кп (см. подпункт 8.4.1.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8.4.3. Газоны:</w:t>
      </w:r>
    </w:p>
    <w:p>
      <w:pPr>
        <w:pStyle w:val="style0"/>
        <w:jc w:val="center"/>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Вв3 = Вс5 х Кп, где (9)</w:t>
      </w:r>
    </w:p>
    <w:p>
      <w:pPr>
        <w:pStyle w:val="style0"/>
        <w:jc w:val="both"/>
        <w:tabs>
          <w:tab w:leader="none" w:pos="945" w:val="left"/>
        </w:tabs>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Вс5 (см. подпункт 8.3.3.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Кп (см. подпункт 8.4.1.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xml:space="preserve">8.4.4. Цветники: </w:t>
      </w:r>
    </w:p>
    <w:p>
      <w:pPr>
        <w:pStyle w:val="style0"/>
        <w:jc w:val="both"/>
        <w:tabs>
          <w:tab w:leader="none" w:pos="945" w:val="left"/>
        </w:tabs>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Вв4 = Вс6 х Кп, где (10)</w:t>
      </w:r>
    </w:p>
    <w:p>
      <w:pPr>
        <w:pStyle w:val="style0"/>
        <w:jc w:val="both"/>
        <w:tabs>
          <w:tab w:leader="none" w:pos="945" w:val="left"/>
        </w:tabs>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Вс6 (см. подпункт 8.3.4.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Кп (см. подпункт 8.4.1.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8.5. Расчёт восстановительной стоимости при сносе зелёных насаждений, с нарушением установленного настоящим Положением порядка (Внс):</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8.5.1. Деревья:</w:t>
      </w:r>
    </w:p>
    <w:p>
      <w:pPr>
        <w:pStyle w:val="style0"/>
        <w:jc w:val="both"/>
        <w:tabs>
          <w:tab w:leader="none" w:pos="945" w:val="left"/>
        </w:tabs>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Внс1 = Вс1 (при Кс = 1) х Ку, где (11)</w:t>
      </w:r>
    </w:p>
    <w:p>
      <w:pPr>
        <w:pStyle w:val="style0"/>
        <w:jc w:val="center"/>
        <w:tabs>
          <w:tab w:leader="none" w:pos="945" w:val="left"/>
        </w:tabs>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Вс1 и Кс (см. подпункт 8.3.1. настоящего Положения);</w:t>
      </w:r>
    </w:p>
    <w:p>
      <w:pPr>
        <w:pStyle w:val="style0"/>
        <w:jc w:val="left"/>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Ку – коэффициент увеличения восстановительной стоимости при незаконном сносе:</w:t>
      </w:r>
    </w:p>
    <w:p>
      <w:pPr>
        <w:pStyle w:val="style0"/>
        <w:jc w:val="left"/>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Ку  = 3 для физических лиц;</w:t>
      </w:r>
    </w:p>
    <w:p>
      <w:pPr>
        <w:pStyle w:val="style0"/>
        <w:jc w:val="left"/>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Ку = 5 для должностных лиц;</w:t>
      </w:r>
    </w:p>
    <w:p>
      <w:pPr>
        <w:pStyle w:val="style0"/>
        <w:jc w:val="left"/>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Ку = 6 для юридических лиц.</w:t>
      </w:r>
    </w:p>
    <w:p>
      <w:pPr>
        <w:pStyle w:val="style0"/>
        <w:jc w:val="left"/>
        <w:tabs>
          <w:tab w:leader="none" w:pos="945" w:val="left"/>
        </w:tabs>
        <w:ind w:hanging="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 xml:space="preserve">          </w:t>
      </w:r>
      <w:r>
        <w:rPr>
          <w:color w:val="00000A"/>
          <w:vertAlign w:val="baseline"/>
          <w:position w:val="0"/>
          <w:sz w:val="20"/>
          <w:sz w:val="28"/>
          <w:spacing w:val="0"/>
          <w:rFonts w:ascii="Times New Roman" w:cs="Times New Roman" w:eastAsia="Times New Roman" w:hAnsi="Times New Roman"/>
        </w:rPr>
        <w:t>8.5.2. Кустарники:</w:t>
      </w:r>
    </w:p>
    <w:p>
      <w:pPr>
        <w:pStyle w:val="style0"/>
        <w:jc w:val="center"/>
        <w:tabs>
          <w:tab w:leader="none" w:pos="945" w:val="left"/>
        </w:tabs>
        <w:ind w:hanging="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tabs>
          <w:tab w:leader="none" w:pos="945" w:val="left"/>
        </w:tabs>
        <w:ind w:hanging="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Внс2 = Вс4 (при Кс = 1) х Ку, где  (12)</w:t>
      </w:r>
    </w:p>
    <w:p>
      <w:pPr>
        <w:pStyle w:val="style0"/>
        <w:jc w:val="both"/>
        <w:tabs>
          <w:tab w:leader="none" w:pos="945" w:val="left"/>
        </w:tabs>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Вс4 и Кс (см. подпункт 8.3.2.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Ку (см. подпункт 8.5.1.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8.5.3. Газон:</w:t>
      </w:r>
    </w:p>
    <w:p>
      <w:pPr>
        <w:pStyle w:val="style0"/>
        <w:jc w:val="both"/>
        <w:tabs>
          <w:tab w:leader="none" w:pos="945" w:val="left"/>
        </w:tabs>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Внс3 = Вс5 (при Кс =1) х Ку, где (13)</w:t>
      </w:r>
    </w:p>
    <w:p>
      <w:pPr>
        <w:pStyle w:val="style0"/>
        <w:jc w:val="center"/>
        <w:tabs>
          <w:tab w:leader="none" w:pos="945" w:val="left"/>
        </w:tabs>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Вс5 и Кс (см. подпункт 8.3.3.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Ку (см. подпункт 8.5.1.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8.5.3. Газон:</w:t>
      </w:r>
    </w:p>
    <w:p>
      <w:pPr>
        <w:pStyle w:val="style0"/>
        <w:jc w:val="left"/>
        <w:tabs>
          <w:tab w:leader="none" w:pos="945" w:val="left"/>
        </w:tabs>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Внс4 = Вс6 (при Кс =1) х Ку, где (14)</w:t>
      </w:r>
    </w:p>
    <w:p>
      <w:pPr>
        <w:pStyle w:val="style0"/>
        <w:jc w:val="left"/>
        <w:tabs>
          <w:tab w:leader="none" w:pos="945" w:val="left"/>
        </w:tabs>
        <w:ind w:firstLine="708" w:left="0" w:right="0"/>
        <w:spacing w:after="200" w:before="0" w:line="276" w:lineRule="exact"/>
      </w:pPr>
      <w:r>
        <w:rPr>
          <w:color w:val="00000A"/>
          <w:vertAlign w:val="baseline"/>
          <w:position w:val="0"/>
          <w:sz w:val="28"/>
          <w:sz w:val="28"/>
          <w:spacing w:val="0"/>
          <w:b/>
          <w:rFonts w:ascii="Times New Roman" w:cs="Times New Roman" w:eastAsia="Times New Roman" w:hAnsi="Times New Roman"/>
        </w:rPr>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Вс6 и Кс (см. подпункт 8.3.4.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0"/>
          <w:sz w:val="28"/>
          <w:spacing w:val="0"/>
          <w:rFonts w:ascii="Times New Roman" w:cs="Times New Roman" w:eastAsia="Times New Roman" w:hAnsi="Times New Roman"/>
        </w:rPr>
        <w:t>Ку (см. подпункт 8.5.1. настоящего Положения);</w:t>
      </w:r>
    </w:p>
    <w:p>
      <w:pPr>
        <w:pStyle w:val="style0"/>
        <w:jc w:val="both"/>
        <w:tabs>
          <w:tab w:leader="none" w:pos="945" w:val="left"/>
        </w:tabs>
        <w:ind w:firstLine="708"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tabs>
          <w:tab w:leader="none" w:pos="945" w:val="left"/>
        </w:tabs>
        <w:ind w:hanging="0" w:left="0" w:right="0"/>
        <w:spacing w:after="200" w:before="0" w:line="276" w:lineRule="exact"/>
      </w:pPr>
      <w:r>
        <w:rPr>
          <w:color w:val="00000A"/>
          <w:vertAlign w:val="baseline"/>
          <w:position w:val="0"/>
          <w:sz w:val="20"/>
          <w:sz w:val="28"/>
          <w:spacing w:val="0"/>
          <w:b/>
          <w:rFonts w:ascii="Times New Roman" w:cs="Times New Roman" w:eastAsia="Times New Roman" w:hAnsi="Times New Roman"/>
        </w:rPr>
        <w:t xml:space="preserve">IХ. Распределение средств </w:t>
      </w:r>
    </w:p>
    <w:p>
      <w:pPr>
        <w:pStyle w:val="style0"/>
        <w:jc w:val="left"/>
        <w:tabs>
          <w:tab w:leader="none" w:pos="945" w:val="left"/>
        </w:tabs>
        <w:ind w:firstLine="720" w:left="0" w:right="0"/>
        <w:spacing w:after="200" w:before="0" w:line="276" w:lineRule="exact"/>
      </w:pPr>
      <w:r>
        <w:rPr>
          <w:color w:val="00000A"/>
          <w:vertAlign w:val="baseline"/>
          <w:position w:val="0"/>
          <w:sz w:val="28"/>
          <w:sz w:val="28"/>
          <w:spacing w:val="0"/>
          <w:b/>
          <w:rFonts w:ascii="Times New Roman" w:cs="Times New Roman" w:eastAsia="Times New Roman" w:hAnsi="Times New Roman"/>
        </w:rPr>
      </w:r>
    </w:p>
    <w:p>
      <w:pPr>
        <w:pStyle w:val="style0"/>
        <w:jc w:val="both"/>
        <w:tabs>
          <w:tab w:leader="none" w:pos="945" w:val="left"/>
        </w:tabs>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9.1. Средства, полученные в счёт возмещения убытков за повреждение, вынужденное уничтожение (снос) зелёных насаждений, входящих в систему озеленения территории муниципального образования, зачисляются заказчиком (застройщиком) в доход бюджета муниципального образования  и расходуются на восстановление, содержание и выполнение охранных мероприятий зелёного фонда.</w:t>
      </w:r>
    </w:p>
    <w:p>
      <w:pPr>
        <w:pStyle w:val="style0"/>
        <w:jc w:val="both"/>
        <w:tabs>
          <w:tab w:leader="none" w:pos="945" w:val="left"/>
        </w:tabs>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9.2. Средства, полученные в счёт возмещения убытков за повреждение, уничтожение (снос) зелёных насаждений, входящих в систему озеленения территории  муниципального образования, без получения акта оценочной комиссии, зачисляются в доход бюджета муниципального образования и расходуются на природоохранные мероприятия.</w:t>
      </w:r>
    </w:p>
    <w:p>
      <w:pPr>
        <w:pStyle w:val="style0"/>
        <w:jc w:val="both"/>
        <w:tabs>
          <w:tab w:leader="none" w:pos="945" w:val="left"/>
        </w:tabs>
        <w:ind w:firstLine="72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tabs>
          <w:tab w:leader="none" w:pos="945" w:val="left"/>
        </w:tabs>
        <w:ind w:firstLine="720" w:left="0" w:right="0"/>
        <w:spacing w:after="200" w:before="0" w:line="276" w:lineRule="exact"/>
      </w:pPr>
      <w:r>
        <w:rPr>
          <w:color w:val="00000A"/>
          <w:vertAlign w:val="baseline"/>
          <w:position w:val="0"/>
          <w:sz w:val="20"/>
          <w:sz w:val="28"/>
          <w:spacing w:val="0"/>
          <w:b/>
          <w:rFonts w:ascii="Times New Roman" w:cs="Times New Roman" w:eastAsia="Times New Roman" w:hAnsi="Times New Roman"/>
        </w:rPr>
        <w:t>Х. Контроль за состоянием, использованием и сохранностью зелёных насаждений</w:t>
      </w:r>
    </w:p>
    <w:p>
      <w:pPr>
        <w:pStyle w:val="style0"/>
        <w:jc w:val="left"/>
        <w:ind w:hanging="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tabs>
          <w:tab w:leader="none" w:pos="720" w:val="left"/>
        </w:tabs>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10.1. Контроль за состоянием, использованием и сохранностью зелёных насаждений осуществляется структурными подразделениями администрации муниципального образования, в ведении которых находятся объекты озеленения, а также управлением экологии администрации муниципального образования.</w:t>
      </w:r>
    </w:p>
    <w:p>
      <w:pPr>
        <w:pStyle w:val="style0"/>
        <w:jc w:val="both"/>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10.2. При сдаче объектов в эксплуатацию контроль за выполнением требований по озеленению, предусмотренных в проектах строительства (реконструкции).</w:t>
      </w:r>
    </w:p>
    <w:p>
      <w:pPr>
        <w:pStyle w:val="style0"/>
        <w:jc w:val="both"/>
        <w:ind w:firstLine="72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center"/>
        <w:ind w:firstLine="720" w:left="0" w:right="0"/>
        <w:spacing w:after="200" w:before="0" w:line="276" w:lineRule="exact"/>
      </w:pPr>
      <w:r>
        <w:rPr>
          <w:color w:val="00000A"/>
          <w:vertAlign w:val="baseline"/>
          <w:position w:val="0"/>
          <w:sz w:val="20"/>
          <w:sz w:val="28"/>
          <w:spacing w:val="0"/>
          <w:b/>
          <w:rFonts w:ascii="Times New Roman" w:cs="Times New Roman" w:eastAsia="Times New Roman" w:hAnsi="Times New Roman"/>
        </w:rPr>
        <w:t>ХI. Ответственность за нарушение Положения и контроль за его исполнением</w:t>
      </w:r>
    </w:p>
    <w:p>
      <w:pPr>
        <w:pStyle w:val="style0"/>
        <w:jc w:val="center"/>
        <w:ind w:firstLine="720" w:left="0" w:right="0"/>
        <w:spacing w:after="200" w:before="0" w:line="276" w:lineRule="exact"/>
      </w:pPr>
      <w:r>
        <w:rPr>
          <w:color w:val="00000A"/>
          <w:vertAlign w:val="baseline"/>
          <w:position w:val="0"/>
          <w:sz w:val="28"/>
          <w:sz w:val="28"/>
          <w:spacing w:val="0"/>
          <w:rFonts w:ascii="Times New Roman" w:cs="Times New Roman" w:eastAsia="Times New Roman" w:hAnsi="Times New Roman"/>
        </w:rPr>
      </w:r>
    </w:p>
    <w:p>
      <w:pPr>
        <w:pStyle w:val="style0"/>
        <w:jc w:val="both"/>
        <w:tabs>
          <w:tab w:leader="none" w:pos="1155" w:val="left"/>
        </w:tabs>
        <w:ind w:firstLine="720" w:left="0" w:right="0"/>
        <w:spacing w:after="200" w:before="0" w:line="276" w:lineRule="exact"/>
      </w:pPr>
      <w:r>
        <w:rPr>
          <w:color w:val="00000A"/>
          <w:vertAlign w:val="baseline"/>
          <w:position w:val="0"/>
          <w:sz w:val="20"/>
          <w:sz w:val="28"/>
          <w:spacing w:val="0"/>
          <w:rFonts w:ascii="Times New Roman" w:cs="Times New Roman" w:eastAsia="Times New Roman" w:hAnsi="Times New Roman"/>
        </w:rPr>
        <w:t>11.1. Убытки, причинённые муниципальному образованию повреждением, уничтожением (сносом) зелёных насаждений, входящих в систему озеленения территории муниципального образования, подлежат полному возмещению в добровольном порядке лицами, причинившими вред муниципальному образованию посредством повреждения или уничтожения (сноса) зелёных насаждений, либо, при отсутствии такового, в судебном порядке.</w:t>
      </w:r>
    </w:p>
    <w:p>
      <w:pPr>
        <w:pStyle w:val="style0"/>
        <w:jc w:val="left"/>
        <w:ind w:hanging="0" w:left="0" w:right="0"/>
        <w:spacing w:after="200" w:before="0" w:line="276" w:lineRule="exact"/>
      </w:pPr>
      <w:r>
        <w:rPr>
          <w:color w:val="00000A"/>
          <w:vertAlign w:val="baseline"/>
          <w:position w:val="0"/>
          <w:sz w:val="28"/>
          <w:sz w:val="28"/>
          <w:spacing w:val="0"/>
          <w:b/>
          <w:rFonts w:ascii="Times New Roman" w:cs="Times New Roman" w:eastAsia="Times New Roman" w:hAnsi="Times New Roman"/>
        </w:rPr>
      </w:r>
    </w:p>
    <w:p>
      <w:pPr>
        <w:pStyle w:val="style0"/>
        <w:jc w:val="left"/>
        <w:ind w:hanging="0" w:left="0" w:right="0"/>
        <w:spacing w:after="200" w:before="0" w:line="276" w:lineRule="exact"/>
      </w:pPr>
      <w:r>
        <w:rPr>
          <w:color w:val="00000A"/>
          <w:vertAlign w:val="baseline"/>
          <w:position w:val="0"/>
          <w:sz w:val="20"/>
          <w:sz w:val="28"/>
          <w:spacing w:val="0"/>
          <w:b/>
          <w:rFonts w:ascii="Times New Roman" w:cs="Times New Roman" w:eastAsia="Times New Roman" w:hAnsi="Times New Roman"/>
        </w:rPr>
        <w:t>Глава Знаменского муниципального образования</w:t>
      </w:r>
    </w:p>
    <w:p>
      <w:pPr>
        <w:pStyle w:val="style0"/>
        <w:jc w:val="left"/>
        <w:ind w:hanging="0" w:left="0" w:right="0"/>
        <w:spacing w:after="200" w:before="0" w:line="276" w:lineRule="exact"/>
      </w:pPr>
      <w:r>
        <w:rPr>
          <w:color w:val="00000A"/>
          <w:vertAlign w:val="baseline"/>
          <w:position w:val="0"/>
          <w:sz w:val="20"/>
          <w:sz w:val="28"/>
          <w:spacing w:val="0"/>
          <w:b/>
          <w:rFonts w:ascii="Times New Roman" w:cs="Times New Roman" w:eastAsia="Times New Roman" w:hAnsi="Times New Roman"/>
        </w:rPr>
        <w:t>Ивантеевского муниципального района</w:t>
        <w:tab/>
        <w:tab/>
        <w:tab/>
        <w:t>В.И. Шабанов</w:t>
      </w:r>
    </w:p>
    <w:p>
      <w:pPr>
        <w:pStyle w:val="style0"/>
        <w:jc w:val="both"/>
        <w:ind w:hanging="0" w:left="0" w:right="0"/>
        <w:spacing w:after="200" w:before="0" w:line="276" w:lineRule="exact"/>
      </w:pPr>
      <w:r>
        <w:rPr>
          <w:color w:val="00000A"/>
          <w:vertAlign w:val="baseline"/>
          <w:position w:val="0"/>
          <w:sz w:val="28"/>
          <w:sz w:val="28"/>
          <w:spacing w:val="0"/>
          <w:b/>
          <w:rFonts w:ascii="Times New Roman" w:cs="Times New Roman" w:eastAsia="Times New Roman" w:hAnsi="Times New Roman"/>
        </w:rPr>
      </w:r>
    </w:p>
    <w:p>
      <w:pPr>
        <w:pStyle w:val="style0"/>
        <w:jc w:val="left"/>
        <w:ind w:hanging="0" w:left="0" w:right="0"/>
        <w:spacing w:after="200" w:before="0" w:line="276" w:lineRule="exact"/>
      </w:pPr>
      <w:r>
        <w:rPr/>
      </w:r>
    </w:p>
    <w:sectPr>
      <w:formProt w:val="off"/>
      <w:pgSz w:h="15840" w:w="12240"/>
      <w:docGrid w:charSpace="8192" w:linePitch="240" w:type="default"/>
      <w:textDirection w:val="lrTb"/>
      <w:pgNumType w:fmt="decimal"/>
      <w:type w:val="nextPage"/>
      <w:pgMar w:bottom="1440" w:left="1800" w:right="1800" w:top="1440"/>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styles.xml><?xml version="1.0" encoding="utf-8"?>
<w:styles xmlns:w="http://schemas.openxmlformats.org/wordprocessingml/2006/main">
  <w:style w:styleId="style0" w:type="paragraph">
    <w:name w:val="Базовый"/>
    <w:next w:val="style0"/>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15" w:type="paragraph">
    <w:name w:val="Заголовок"/>
    <w:basedOn w:val="style0"/>
    <w:next w:val="style16"/>
    <w:pPr>
      <w:keepNext/>
      <w:spacing w:after="120" w:before="240"/>
    </w:pPr>
    <w:rPr>
      <w:sz w:val="28"/>
      <w:szCs w:val="28"/>
      <w:rFonts w:ascii="Arial" w:cs="Mangal" w:eastAsia="SimSun" w:hAnsi="Arial"/>
    </w:rPr>
  </w:style>
  <w:style w:styleId="style16" w:type="paragraph">
    <w:name w:val="Основной текст"/>
    <w:basedOn w:val="style0"/>
    <w:next w:val="style16"/>
    <w:pPr>
      <w:spacing w:after="120" w:before="0"/>
    </w:pPr>
    <w:rPr/>
  </w:style>
  <w:style w:styleId="style17" w:type="paragraph">
    <w:name w:val="Список"/>
    <w:basedOn w:val="style16"/>
    <w:next w:val="style17"/>
    <w:pPr/>
    <w:rPr>
      <w:rFonts w:ascii="Arial" w:cs="Mangal" w:hAnsi="Arial"/>
    </w:rPr>
  </w:style>
  <w:style w:styleId="style18" w:type="paragraph">
    <w:name w:val="Название"/>
    <w:basedOn w:val="style0"/>
    <w:next w:val="style18"/>
    <w:pPr>
      <w:suppressLineNumbers/>
      <w:spacing w:after="120" w:before="120"/>
    </w:pPr>
    <w:rPr>
      <w:sz w:val="20"/>
      <w:i/>
      <w:szCs w:val="24"/>
      <w:iCs/>
      <w:rFonts w:ascii="Arial" w:cs="Mangal" w:hAnsi="Arial"/>
    </w:rPr>
  </w:style>
  <w:style w:styleId="style19" w:type="paragraph">
    <w:name w:val="Указатель"/>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