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emf" ContentType="image/x-emf"/>
  <Override PartName="/word/media/image8.png" ContentType="image/png"/>
  <Override PartName="/word/media/image2.jpeg" ContentType="image/jpeg"/>
  <Override PartName="/word/media/image10.emf" ContentType="image/x-emf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16.jpeg" ContentType="image/jpeg"/>
  <Override PartName="/word/media/image11.emf" ContentType="image/x-emf"/>
  <Override PartName="/word/media/image12.emf" ContentType="image/x-emf"/>
  <Override PartName="/word/media/image13.emf" ContentType="image/x-emf"/>
  <Override PartName="/word/media/image14.emf" ContentType="image/x-emf"/>
  <Override PartName="/word/media/image15.jpeg" ContentType="image/jpeg"/>
  <Override PartName="/word/fontTable.xml" ContentType="application/vnd.openxmlformats-officedocument.wordprocessingml.fontTab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_rels/chart1.xml.rels" ContentType="application/vnd.openxmlformats-package.relationships+xml"/>
  <Override PartName="/word/charts/_rels/chart2.xml.rels" ContentType="application/vnd.openxmlformats-package.relationships+xml"/>
  <Override PartName="/word/charts/_rels/chart3.xml.rels" ContentType="application/vnd.openxmlformats-package.relationship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Microsoft_Excel_Worksheet2.xlsx" ContentType="application/vnd.openxmlformats-officedocument.spreadsheetml.shee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Microsoft_Excel_Worksheet1.xlsx" ContentType="application/vnd.openxmlformats-officedocument.spreadsheetml.sheet"/>
  <Override PartName="/word/embeddings/oleObject6.bin" ContentType="application/vnd.openxmlformats-officedocument.oleObject"/>
  <Override PartName="/word/embeddings/Microsoft_Excel_Worksheet3.xlsx" ContentType="application/vnd.openxmlformats-officedocument.spreadsheetml.sheet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EAF1DD"/>
  <w:body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sz w:val="28"/>
          <w:szCs w:val="28"/>
        </w:rPr>
      </w:pPr>
      <w:bookmarkStart w:id="0" w:name="_GoBack"/>
      <w:bookmarkStart w:id="1" w:name="_GoBack"/>
      <w:bookmarkEnd w:id="1"/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  <w:r>
        <mc:AlternateContent>
          <mc:Choice Requires="wps">
            <w:drawing>
              <wp:anchor behindDoc="0" distT="0" distB="0" distL="114300" distR="97155" simplePos="0" locked="0" layoutInCell="1" allowOverlap="1" relativeHeight="5">
                <wp:simplePos x="0" y="0"/>
                <wp:positionH relativeFrom="column">
                  <wp:posOffset>-562610</wp:posOffset>
                </wp:positionH>
                <wp:positionV relativeFrom="paragraph">
                  <wp:posOffset>-48260</wp:posOffset>
                </wp:positionV>
                <wp:extent cx="7075170" cy="1882140"/>
                <wp:effectExtent l="0" t="0" r="17145" b="17145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1882140"/>
                        </a:xfrm>
                        <a:prstGeom prst="rect"/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/>
                        </a:gradFill>
                        <a:ln w="12700">
                          <a:solidFill>
                            <a:srgbClr val="C2D69B"/>
                          </a:solidFill>
                        </a:ln>
                        <a:effectLst>
                          <a:outerShdw dist="24130" dir="2700000">
                            <a:srgbClr val="4E6128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17365D"/>
                                <w:sz w:val="9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96"/>
                                <w:szCs w:val="56"/>
                              </w:rPr>
                              <w:t>Бюджет для граждан</w:t>
                            </w:r>
                          </w:p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C2D69B" strokeweight="1pt" fillcolor="#FFFFFF" style="position:absolute;rotation:0;width:557.1pt;height:148.2pt;mso-wrap-distance-left:9pt;mso-wrap-distance-right:9pt;mso-wrap-distance-top:0pt;mso-wrap-distance-bottom:0pt;margin-top:-3.8pt;mso-position-vertical-relative:text;margin-left:-44.3pt;mso-position-horizontal-relative:text">
                <v:shadow on="t" color="#4E6128" offset="1.35pt,1.35pt"/>
                <v:fill type="gradient" angle="-180" color2="#D6E3BC"/>
                <v:textbox>
                  <w:txbxContent>
                    <w:p>
                      <w:pPr>
                        <w:pStyle w:val="Style20"/>
                        <w:spacing w:lineRule="auto" w:line="240"/>
                        <w:jc w:val="center"/>
                        <w:rPr>
                          <w:rFonts w:ascii="Times New Roman" w:hAnsi="Times New Roman"/>
                          <w:b/>
                          <w:b/>
                          <w:color w:val="17365D"/>
                          <w:sz w:val="9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7365D"/>
                          <w:sz w:val="96"/>
                          <w:szCs w:val="56"/>
                        </w:rPr>
                        <w:t>Бюджет для граждан</w:t>
                      </w:r>
                    </w:p>
                    <w:p>
                      <w:pPr>
                        <w:pStyle w:val="Style20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  <w:r>
        <mc:AlternateContent>
          <mc:Choice Requires="wps">
            <w:drawing>
              <wp:anchor behindDoc="0" distT="0" distB="0" distL="114300" distR="97155" simplePos="0" locked="0" layoutInCell="1" allowOverlap="1" relativeHeight="6">
                <wp:simplePos x="0" y="0"/>
                <wp:positionH relativeFrom="column">
                  <wp:posOffset>-86360</wp:posOffset>
                </wp:positionH>
                <wp:positionV relativeFrom="paragraph">
                  <wp:posOffset>-294640</wp:posOffset>
                </wp:positionV>
                <wp:extent cx="6381750" cy="1543050"/>
                <wp:effectExtent l="0" t="0" r="17145" b="17145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543050"/>
                        </a:xfrm>
                        <a:prstGeom prst="rect"/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/>
                        </a:gradFill>
                        <a:ln w="12700">
                          <a:solidFill>
                            <a:srgbClr val="C2D69B"/>
                          </a:solidFill>
                        </a:ln>
                        <a:effectLst>
                          <a:outerShdw dist="24130" dir="2700000">
                            <a:srgbClr val="4E6128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32"/>
                                <w:szCs w:val="32"/>
                              </w:rPr>
                              <w:t xml:space="preserve">к решению «Совета Николаевского муниципального образования №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1409A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1409A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32"/>
                                <w:szCs w:val="32"/>
                              </w:rPr>
                              <w:t xml:space="preserve"> от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1409A"/>
                                <w:sz w:val="32"/>
                                <w:szCs w:val="32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32"/>
                                <w:szCs w:val="32"/>
                              </w:rPr>
                              <w:t>декабря 2020 года «О бюджете Николаевского муниципального образования на 2021 год и на плановый период 2022-2023 годов»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C2D69B" strokeweight="1pt" fillcolor="#FFFFFF" style="position:absolute;rotation:0;width:502.5pt;height:121.5pt;mso-wrap-distance-left:9pt;mso-wrap-distance-right:9pt;mso-wrap-distance-top:0pt;mso-wrap-distance-bottom:0pt;margin-top:-23.2pt;mso-position-vertical-relative:text;margin-left:-6.8pt;mso-position-horizontal-relative:text">
                <v:shadow on="t" color="#4E6128" offset="1.35pt,1.35pt"/>
                <v:fill type="gradient" angle="-180" color2="#D6E3BC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17365D"/>
                          <w:sz w:val="32"/>
                          <w:szCs w:val="32"/>
                        </w:rPr>
                        <w:t xml:space="preserve">к решению «Совета Николаевского муниципального образования № </w:t>
                      </w:r>
                      <w:r>
                        <w:rPr>
                          <w:rFonts w:ascii="Times New Roman" w:hAnsi="Times New Roman"/>
                          <w:b/>
                          <w:color w:val="21409A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b/>
                          <w:color w:val="21409A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b/>
                          <w:color w:val="17365D"/>
                          <w:sz w:val="32"/>
                          <w:szCs w:val="32"/>
                        </w:rPr>
                        <w:t xml:space="preserve"> от </w:t>
                      </w:r>
                      <w:r>
                        <w:rPr>
                          <w:rFonts w:ascii="Times New Roman" w:hAnsi="Times New Roman"/>
                          <w:b/>
                          <w:color w:val="21409A"/>
                          <w:sz w:val="32"/>
                          <w:szCs w:val="32"/>
                        </w:rPr>
                        <w:t>18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17365D"/>
                          <w:sz w:val="32"/>
                          <w:szCs w:val="32"/>
                        </w:rPr>
                        <w:t>декабря 2020 года «О бюджете Николаевского муниципального образования на 2021 год и на плановый период 2022-2023 годов»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/>
        <mc:AlternateContent>
          <mc:Choice Requires="wps">
            <w:drawing>
              <wp:inline distT="0" distB="0" distL="0" distR="0">
                <wp:extent cx="4553585" cy="3886835"/>
                <wp:effectExtent l="0" t="0" r="0" b="0"/>
                <wp:docPr id="3" name="Picture 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4552920" cy="3886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76200" dir="7800000" dist="381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4200000"/>
                          </a:lightRig>
                        </a:scene3d>
                        <a:sp3d prstMaterial="plastic">
                          <a:bevelT prst="relaxedInset" w="381000" h="11430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8" stroked="f" style="position:absolute;margin-left:0pt;margin-top:0pt;width:358.45pt;height:305.95pt">
                <v:imagedata r:id="rId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жители Николаевского муниципального образования.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граждан».«Бюджет для граждан» предназначен, прежде всего,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Николаевского муниципального образования.</w:t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Бюджетный процесс- ежегодное формирование и исполнение бюджета</w:t>
      </w:r>
    </w:p>
    <w:p>
      <w:pPr>
        <w:pStyle w:val="Normal"/>
        <w:spacing w:lineRule="auto" w:line="240"/>
        <w:ind w:left="-142" w:firstLine="284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19050" distR="0">
            <wp:extent cx="6210300" cy="3152775"/>
            <wp:effectExtent l="0" t="0" r="0" b="0"/>
            <wp:docPr id="4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>
      <w:pPr>
        <w:pStyle w:val="Normal"/>
        <w:spacing w:lineRule="auto" w:line="240"/>
        <w:ind w:left="-284" w:firstLine="426"/>
        <w:jc w:val="both"/>
        <w:rPr>
          <w:rFonts w:ascii="Times New Roman" w:hAnsi="Times New Roman"/>
          <w:sz w:val="32"/>
          <w:szCs w:val="32"/>
        </w:rPr>
      </w:pPr>
      <w:r>
        <w:rPr/>
        <mc:AlternateContent>
          <mc:Choice Requires="wps">
            <w:drawing>
              <wp:inline distT="0" distB="0" distL="0" distR="0">
                <wp:extent cx="6020435" cy="3572510"/>
                <wp:effectExtent l="0" t="0" r="0" b="0"/>
                <wp:docPr id="5" name="Picture 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0" descr=""/>
                        <pic:cNvPicPr/>
                      </pic:nvPicPr>
                      <pic:blipFill>
                        <a:blip r:embed="rId4"/>
                        <a:srcRect l="0" t="0" r="0" b="11816"/>
                        <a:stretch/>
                      </pic:blipFill>
                      <pic:spPr>
                        <a:xfrm>
                          <a:off x="0" y="0"/>
                          <a:ext cx="6019920" cy="3571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76200" dir="7800000" dist="381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4200000"/>
                          </a:lightRig>
                        </a:scene3d>
                        <a:sp3d prstMaterial="plastic">
                          <a:bevelT prst="relaxedInset" w="381000" h="11430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0" stroked="f" style="position:absolute;margin-left:0pt;margin-top:0pt;width:473.95pt;height:281.2pt">
                <v:imagedata r:id="rId4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Бюджет Николаевского муниципального образования  </w:t>
      </w:r>
    </w:p>
    <w:p>
      <w:pPr>
        <w:pStyle w:val="Normal"/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тыс.руб.</w:t>
      </w:r>
    </w:p>
    <w:tbl>
      <w:tblPr>
        <w:tblW w:w="9781" w:type="dxa"/>
        <w:jc w:val="left"/>
        <w:tblInd w:w="3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3827"/>
        <w:gridCol w:w="1226"/>
        <w:gridCol w:w="1184"/>
        <w:gridCol w:w="1276"/>
        <w:gridCol w:w="1134"/>
        <w:gridCol w:w="1133"/>
      </w:tblGrid>
      <w:tr>
        <w:trPr>
          <w:trHeight w:val="324" w:hRule="atLeast"/>
        </w:trPr>
        <w:tc>
          <w:tcPr>
            <w:tcW w:w="382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35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>
        <w:trPr>
          <w:trHeight w:val="456" w:hRule="atLeast"/>
        </w:trPr>
        <w:tc>
          <w:tcPr>
            <w:tcW w:w="382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2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18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 год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1620,4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1710,2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1259,9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1270,6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1284,7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1395,4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1175,4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1136,5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1145,2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1154,8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225,0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534,8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123,4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125,4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129,9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1681,5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2083,1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1259,9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1270,6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1284,7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Условно утвержденные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58,0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1380,6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1415,7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1067,6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1064,2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1064,2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92,8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94,6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98,2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122,2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583,4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66,8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48,3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(-)Дефицит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или профицит(+)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-61,1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-372,9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color w:val="404040"/>
          <w:spacing w:val="-8"/>
          <w:sz w:val="32"/>
          <w:szCs w:val="32"/>
        </w:rPr>
      </w:pP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Ос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9"/>
          <w:position w:val="0"/>
          <w:sz w:val="32"/>
          <w:szCs w:val="32"/>
        </w:rPr>
        <w:t>о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в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ы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 xml:space="preserve">е </w:t>
      </w:r>
      <w:r>
        <w:rPr>
          <w:rFonts w:ascii="Times New Roman" w:hAnsi="Times New Roman"/>
          <w:b/>
          <w:bCs/>
          <w:color w:val="404040"/>
          <w:spacing w:val="-4"/>
          <w:position w:val="0"/>
          <w:sz w:val="32"/>
          <w:szCs w:val="32"/>
        </w:rPr>
        <w:t>х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ар</w:t>
      </w:r>
      <w:r>
        <w:rPr>
          <w:rFonts w:ascii="Times New Roman" w:hAnsi="Times New Roman"/>
          <w:b/>
          <w:bCs/>
          <w:color w:val="404040"/>
          <w:spacing w:val="2"/>
          <w:position w:val="0"/>
          <w:sz w:val="32"/>
          <w:szCs w:val="32"/>
        </w:rPr>
        <w:t>а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ер</w:t>
      </w:r>
      <w:r>
        <w:rPr>
          <w:rFonts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с</w:t>
      </w:r>
      <w:r>
        <w:rPr>
          <w:rFonts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и б</w:t>
      </w:r>
      <w:r>
        <w:rPr>
          <w:rFonts w:ascii="Times New Roman" w:hAnsi="Times New Roman"/>
          <w:b/>
          <w:bCs/>
          <w:color w:val="404040"/>
          <w:spacing w:val="-22"/>
          <w:position w:val="0"/>
          <w:sz w:val="32"/>
          <w:szCs w:val="32"/>
        </w:rPr>
        <w:t>ю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д</w:t>
      </w:r>
      <w:r>
        <w:rPr>
          <w:rFonts w:ascii="Times New Roman" w:hAnsi="Times New Roman"/>
          <w:b/>
          <w:bCs/>
          <w:color w:val="404040"/>
          <w:spacing w:val="-5"/>
          <w:position w:val="0"/>
          <w:sz w:val="32"/>
          <w:szCs w:val="32"/>
        </w:rPr>
        <w:t>ж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8"/>
          <w:position w:val="0"/>
          <w:sz w:val="32"/>
          <w:szCs w:val="32"/>
        </w:rPr>
        <w:t>та</w:t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color w:val="404040"/>
          <w:sz w:val="32"/>
          <w:szCs w:val="32"/>
        </w:rPr>
      </w:pPr>
      <w:r>
        <w:rPr>
          <w:rFonts w:ascii="Times New Roman" w:hAnsi="Times New Roman"/>
          <w:b/>
          <w:bCs/>
          <w:color w:val="404040"/>
          <w:sz w:val="32"/>
          <w:szCs w:val="32"/>
        </w:rPr>
      </w:r>
    </w:p>
    <w:tbl>
      <w:tblPr>
        <w:tblStyle w:val="a6"/>
        <w:tblW w:w="9603" w:type="dxa"/>
        <w:jc w:val="left"/>
        <w:tblInd w:w="392" w:type="dxa"/>
        <w:tblCellMar>
          <w:top w:w="0" w:type="dxa"/>
          <w:left w:w="9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954"/>
        <w:gridCol w:w="3329"/>
        <w:gridCol w:w="3320"/>
      </w:tblGrid>
      <w:tr>
        <w:trPr/>
        <w:tc>
          <w:tcPr>
            <w:tcW w:w="9603" w:type="dxa"/>
            <w:gridSpan w:val="3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76923C" w:themeColor="accent3" w:themeShade="bf"/>
                <w:sz w:val="32"/>
              </w:rPr>
            </w:pPr>
            <w:r>
              <w:rPr>
                <w:rFonts w:eastAsia="Calibri" w:cs="Calibri"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>
        <w:trPr>
          <w:trHeight w:val="425" w:hRule="exact"/>
        </w:trPr>
        <w:tc>
          <w:tcPr>
            <w:tcW w:w="295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9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color w:val="FFFFFF" w:themeColor="background1"/>
                <w:sz w:val="32"/>
                <w:szCs w:val="32"/>
              </w:rPr>
            </w:r>
          </w:p>
        </w:tc>
        <w:tc>
          <w:tcPr>
            <w:tcW w:w="332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</w:tr>
      <w:tr>
        <w:trPr>
          <w:trHeight w:val="2949" w:hRule="atLeast"/>
        </w:trPr>
        <w:tc>
          <w:tcPr>
            <w:tcW w:w="295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 xml:space="preserve">- единый сельскохозяйственный налог, 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налог на имущество физических лиц,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земельный налог,</w:t>
            </w:r>
          </w:p>
          <w:p>
            <w:pPr>
              <w:pStyle w:val="Normal"/>
              <w:spacing w:before="0" w:after="200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  <w:tc>
          <w:tcPr>
            <w:tcW w:w="3329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дотации;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субсидии;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субвенции;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eastAsia="ru-RU"/>
        </w:rPr>
      </w:r>
    </w:p>
    <w:tbl>
      <w:tblPr>
        <w:tblStyle w:val="a6"/>
        <w:tblpPr w:bottomFromText="0" w:horzAnchor="margin" w:leftFromText="180" w:rightFromText="180" w:tblpX="392" w:tblpY="1" w:topFromText="0" w:vertAnchor="text"/>
        <w:tblW w:w="9606" w:type="dxa"/>
        <w:jc w:val="left"/>
        <w:tblInd w:w="108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606"/>
      </w:tblGrid>
      <w:tr>
        <w:trPr/>
        <w:tc>
          <w:tcPr>
            <w:tcW w:w="9606" w:type="dxa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32"/>
                <w:szCs w:val="32"/>
                <w:lang w:eastAsia="ru-RU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tbl>
      <w:tblPr>
        <w:tblStyle w:val="1-4"/>
        <w:tblpPr w:bottomFromText="0" w:horzAnchor="margin" w:leftFromText="180" w:rightFromText="180" w:tblpX="392" w:tblpY="2971" w:topFromText="0" w:vertAnchor="page"/>
        <w:tblW w:w="9606" w:type="dxa"/>
        <w:jc w:val="left"/>
        <w:tblInd w:w="108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943"/>
        <w:gridCol w:w="3119"/>
        <w:gridCol w:w="3544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Виды межбюджетных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трансфертов</w:t>
            </w:r>
          </w:p>
        </w:tc>
        <w:tc>
          <w:tcPr>
            <w:tcW w:w="3119" w:type="dxa"/>
            <w:tcBorders>
              <w:top w:val="single" w:sz="4" w:space="0" w:color="76923C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Определение</w:t>
            </w:r>
          </w:p>
        </w:tc>
        <w:tc>
          <w:tcPr>
            <w:tcW w:w="3544" w:type="dxa"/>
            <w:tcBorders>
              <w:top w:val="single" w:sz="4" w:space="0" w:color="76923C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Аналогия в семейном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бюджете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Дотации (от лат. «Dotatio» –дар, пожертвование)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даете своему ребенку «карманные деньги»</w:t>
            </w:r>
          </w:p>
        </w:tc>
      </w:tr>
      <w:tr>
        <w:trPr>
          <w:trHeight w:val="2259" w:hRule="atLeast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Субвенции (от лат.Subveire»– приходить на помощь)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на финансирование«переданных» другим публично-правовым образованиям полномочий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даете своему ребенку деньги и посылаете его в магазин купить продукты(по списку)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Субсидии (от лат.«Subsidium» - поддержка)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на условиях долевого софинансирования расходов других бюджетов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«добавляете» денег для того, чтобы ваш ребенок купил себе новый телефон(а остальные он накопит сам)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/>
          <w:b/>
          <w:color w:val="5F497A" w:themeColor="accent4" w:themeShade="bf"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/>
        <w:drawing>
          <wp:inline distT="0" distB="0" distL="19050" distR="9525">
            <wp:extent cx="4295775" cy="2571750"/>
            <wp:effectExtent l="0" t="0" r="0" b="0"/>
            <wp:docPr id="6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/>
        <w:drawing>
          <wp:inline distT="0" distB="0" distL="19050" distR="9525">
            <wp:extent cx="6200775" cy="4591050"/>
            <wp:effectExtent l="0" t="0" r="0" b="0"/>
            <wp:docPr id="7" name="Изображение1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Налоги, зачисляемые в бюджет муниципального образования в 2021 году</w:t>
      </w:r>
    </w:p>
    <w:tbl>
      <w:tblPr>
        <w:tblW w:w="9639" w:type="dxa"/>
        <w:jc w:val="left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939"/>
        <w:gridCol w:w="3191"/>
        <w:gridCol w:w="3509"/>
      </w:tblGrid>
      <w:tr>
        <w:trPr/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5050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9FF33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66CCFF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>
        <w:trPr>
          <w:trHeight w:val="2153" w:hRule="atLeast"/>
        </w:trPr>
        <w:tc>
          <w:tcPr>
            <w:tcW w:w="963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2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1270</wp:posOffset>
                      </wp:positionV>
                      <wp:extent cx="876300" cy="823595"/>
                      <wp:effectExtent l="0" t="0" r="17145" b="17145"/>
                      <wp:wrapNone/>
                      <wp:docPr id="8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823595"/>
                              </a:xfrm>
                              <a:prstGeom prst="rect"/>
                              <a:solidFill>
                                <a:srgbClr val="FF5050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5050" strokecolor="#4F81BD" strokeweight="1pt" style="position:absolute;rotation:0;width:69pt;height:64.85pt;mso-wrap-distance-left:9pt;mso-wrap-distance-right:9pt;mso-wrap-distance-top:0pt;mso-wrap-distance-bottom:0pt;margin-top:0.1pt;mso-position-vertical-relative:text;margin-left:42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3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2540</wp:posOffset>
                      </wp:positionV>
                      <wp:extent cx="809625" cy="824230"/>
                      <wp:effectExtent l="0" t="0" r="17145" b="17145"/>
                      <wp:wrapNone/>
                      <wp:docPr id="9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824230"/>
                              </a:xfrm>
                              <a:prstGeom prst="rect"/>
                              <a:solidFill>
                                <a:srgbClr val="66CCFF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66CCFF" strokecolor="#4F81BD" strokeweight="1pt" style="position:absolute;rotation:0;width:63.75pt;height:64.9pt;mso-wrap-distance-left:9pt;mso-wrap-distance-right:9pt;mso-wrap-distance-top:0pt;mso-wrap-distance-bottom:0pt;margin-top:0.2pt;mso-position-vertical-relative:text;margin-left:369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4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2540</wp:posOffset>
                      </wp:positionV>
                      <wp:extent cx="828675" cy="823595"/>
                      <wp:effectExtent l="0" t="0" r="17145" b="17145"/>
                      <wp:wrapNone/>
                      <wp:docPr id="10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823595"/>
                              </a:xfrm>
                              <a:prstGeom prst="rect"/>
                              <a:solidFill>
                                <a:srgbClr val="99FF33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99FF33" strokecolor="#4F81BD" strokeweight="1pt" style="position:absolute;rotation:0;width:65.25pt;height:64.85pt;mso-wrap-distance-left:9pt;mso-wrap-distance-right:9pt;mso-wrap-distance-top:0pt;mso-wrap-distance-bottom:0pt;margin-top:0.2pt;mso-position-vertical-relative:text;margin-left:196.8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419" w:hRule="atLeast"/>
        </w:trPr>
        <w:tc>
          <w:tcPr>
            <w:tcW w:w="963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9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enter" w:pos="4711" w:leader="none"/>
                <w:tab w:val="left" w:pos="6810" w:leader="none"/>
              </w:tabs>
              <w:spacing w:before="0" w:after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  <w:t>Местный бюджет</w:t>
              <w:tab/>
            </w:r>
          </w:p>
          <w:p>
            <w:pPr>
              <w:pStyle w:val="Normal"/>
              <w:widowControl w:val="false"/>
              <w:tabs>
                <w:tab w:val="center" w:pos="4711" w:leader="none"/>
                <w:tab w:val="left" w:pos="6810" w:leader="none"/>
              </w:tabs>
              <w:spacing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/>
              <w:drawing>
                <wp:inline distT="0" distB="0" distL="19050" distR="9525">
                  <wp:extent cx="2276475" cy="1628775"/>
                  <wp:effectExtent l="0" t="0" r="0" b="0"/>
                  <wp:docPr id="11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tabs>
                <w:tab w:val="center" w:pos="4711" w:leader="none"/>
                <w:tab w:val="left" w:pos="6810" w:leader="none"/>
              </w:tabs>
              <w:spacing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Структура доходов бюджета Николаевского муниципального образования</w:t>
      </w:r>
    </w:p>
    <w:p>
      <w:pPr>
        <w:pStyle w:val="Normal"/>
        <w:tabs>
          <w:tab w:val="left" w:pos="4020" w:leader="none"/>
          <w:tab w:val="center" w:pos="4677" w:leader="none"/>
        </w:tabs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тыс.руб.</w:t>
      </w:r>
    </w:p>
    <w:tbl>
      <w:tblPr>
        <w:tblW w:w="10065" w:type="dxa"/>
        <w:jc w:val="left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253"/>
        <w:gridCol w:w="1227"/>
        <w:gridCol w:w="1184"/>
        <w:gridCol w:w="1134"/>
        <w:gridCol w:w="1134"/>
        <w:gridCol w:w="1132"/>
      </w:tblGrid>
      <w:tr>
        <w:trPr>
          <w:trHeight w:val="322" w:hRule="atLeast"/>
        </w:trPr>
        <w:tc>
          <w:tcPr>
            <w:tcW w:w="425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22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340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>
        <w:trPr>
          <w:trHeight w:val="322" w:hRule="atLeast"/>
        </w:trPr>
        <w:tc>
          <w:tcPr>
            <w:tcW w:w="425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22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18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 всего:</w:t>
            </w:r>
          </w:p>
        </w:tc>
        <w:tc>
          <w:tcPr>
            <w:tcW w:w="122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1392,2</w:t>
            </w:r>
          </w:p>
        </w:tc>
        <w:tc>
          <w:tcPr>
            <w:tcW w:w="11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1172,3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1133,3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1142,0</w:t>
            </w:r>
          </w:p>
        </w:tc>
        <w:tc>
          <w:tcPr>
            <w:tcW w:w="11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1151,6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22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60,0</w:t>
            </w:r>
          </w:p>
        </w:tc>
        <w:tc>
          <w:tcPr>
            <w:tcW w:w="11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88,5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89,3</w:t>
            </w:r>
          </w:p>
        </w:tc>
        <w:tc>
          <w:tcPr>
            <w:tcW w:w="11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90,3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22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149,8</w:t>
            </w:r>
          </w:p>
        </w:tc>
        <w:tc>
          <w:tcPr>
            <w:tcW w:w="11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196,0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165,2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173,1</w:t>
            </w:r>
          </w:p>
        </w:tc>
        <w:tc>
          <w:tcPr>
            <w:tcW w:w="11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181,7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2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91,5</w:t>
            </w:r>
          </w:p>
        </w:tc>
        <w:tc>
          <w:tcPr>
            <w:tcW w:w="11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66,3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74,0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74,0</w:t>
            </w:r>
          </w:p>
        </w:tc>
        <w:tc>
          <w:tcPr>
            <w:tcW w:w="11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74,0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2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1090,9</w:t>
            </w:r>
          </w:p>
        </w:tc>
        <w:tc>
          <w:tcPr>
            <w:tcW w:w="11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810,0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805,6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805,6</w:t>
            </w:r>
          </w:p>
        </w:tc>
        <w:tc>
          <w:tcPr>
            <w:tcW w:w="11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805,6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 всего:</w:t>
            </w:r>
          </w:p>
        </w:tc>
        <w:tc>
          <w:tcPr>
            <w:tcW w:w="122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11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3,1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11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3,2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 имущества</w:t>
            </w:r>
          </w:p>
        </w:tc>
        <w:tc>
          <w:tcPr>
            <w:tcW w:w="122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1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 понесенных от эксплуатации имущества</w:t>
            </w:r>
          </w:p>
        </w:tc>
        <w:tc>
          <w:tcPr>
            <w:tcW w:w="122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1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всего:</w:t>
            </w:r>
          </w:p>
        </w:tc>
        <w:tc>
          <w:tcPr>
            <w:tcW w:w="122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225,0</w:t>
            </w:r>
          </w:p>
        </w:tc>
        <w:tc>
          <w:tcPr>
            <w:tcW w:w="11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534,8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123,4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125,4</w:t>
            </w:r>
          </w:p>
        </w:tc>
        <w:tc>
          <w:tcPr>
            <w:tcW w:w="11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129,9</w:t>
            </w:r>
          </w:p>
        </w:tc>
      </w:tr>
      <w:tr>
        <w:trPr>
          <w:trHeight w:val="322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дотации 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27,2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28,5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29,7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30,8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31,7</w:t>
            </w:r>
          </w:p>
        </w:tc>
      </w:tr>
      <w:tr>
        <w:trPr>
          <w:trHeight w:val="322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401,7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94,6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98,2</w:t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22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9,4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22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14,2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22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114,9</w:t>
            </w:r>
          </w:p>
        </w:tc>
        <w:tc>
          <w:tcPr>
            <w:tcW w:w="11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240" w:hRule="atLeast"/>
        </w:trPr>
        <w:tc>
          <w:tcPr>
            <w:tcW w:w="42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2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1620,4</w:t>
            </w:r>
          </w:p>
        </w:tc>
        <w:tc>
          <w:tcPr>
            <w:tcW w:w="11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1710,2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1259,9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1270,6</w:t>
            </w:r>
          </w:p>
        </w:tc>
        <w:tc>
          <w:tcPr>
            <w:tcW w:w="113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1284,7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6057900" cy="4029075"/>
            <wp:effectExtent l="0" t="0" r="0" b="0"/>
            <wp:docPr id="12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Николаевского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расчете на 1 жителя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численность населения Николаевского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на 01.01.2020г. 563человек)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9639" w:type="dxa"/>
        <w:jc w:val="left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4252"/>
        <w:gridCol w:w="1275"/>
        <w:gridCol w:w="1134"/>
        <w:gridCol w:w="993"/>
        <w:gridCol w:w="992"/>
        <w:gridCol w:w="992"/>
      </w:tblGrid>
      <w:tr>
        <w:trPr>
          <w:trHeight w:val="441" w:hRule="atLeast"/>
        </w:trPr>
        <w:tc>
          <w:tcPr>
            <w:tcW w:w="42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297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>
        <w:trPr>
          <w:trHeight w:val="687" w:hRule="atLeast"/>
        </w:trPr>
        <w:tc>
          <w:tcPr>
            <w:tcW w:w="4252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 год</w:t>
            </w:r>
          </w:p>
        </w:tc>
      </w:tr>
      <w:tr>
        <w:trPr>
          <w:trHeight w:val="437" w:hRule="exact"/>
        </w:trPr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2878,0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3038,0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2238,0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2257,0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2282,0</w:t>
            </w:r>
          </w:p>
        </w:tc>
      </w:tr>
      <w:tr>
        <w:trPr>
          <w:trHeight w:val="406" w:hRule="exact"/>
        </w:trPr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2479,0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2088,0</w:t>
            </w:r>
          </w:p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2019,0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2034,0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2051,0</w:t>
            </w:r>
          </w:p>
        </w:tc>
      </w:tr>
      <w:tr>
        <w:trPr>
          <w:trHeight w:val="422" w:hRule="exact"/>
        </w:trPr>
        <w:tc>
          <w:tcPr>
            <w:tcW w:w="4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399,0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950,0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219,0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223,0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231,0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rFonts w:ascii="Times New Roman" w:hAnsi="Times New Roman"/>
          <w:sz w:val="28"/>
          <w:szCs w:val="28"/>
        </w:rPr>
        <w:t>Николаевского муниципального образования на 2021 год и плановый период 2022 и 2023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 являются земельный налог, единый сельскохозяйственный налог и налог на доходы физических лиц.</w:t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tabs>
          <w:tab w:val="left" w:pos="7815" w:leader="none"/>
        </w:tabs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t>РАСХОДЫ.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>
      <w:pPr>
        <w:pStyle w:val="Normal"/>
        <w:tabs>
          <w:tab w:val="left" w:pos="7815" w:leader="none"/>
        </w:tabs>
        <w:spacing w:lineRule="auto" w:line="240"/>
        <w:ind w:left="-993" w:hanging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/>
        <w:drawing>
          <wp:inline distT="0" distB="0" distL="19050" distR="635">
            <wp:extent cx="6247765" cy="4267200"/>
            <wp:effectExtent l="0" t="0" r="0" b="0"/>
            <wp:docPr id="13" name="Рисунок 2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7815" w:leader="none"/>
        </w:tabs>
        <w:spacing w:lineRule="auto" w:line="240"/>
        <w:ind w:left="-993" w:hanging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drawing>
          <wp:anchor behindDoc="0" distT="0" distB="0" distL="133350" distR="114935" simplePos="0" locked="0" layoutInCell="1" allowOverlap="1" relativeHeight="8">
            <wp:simplePos x="0" y="0"/>
            <wp:positionH relativeFrom="column">
              <wp:posOffset>-376555</wp:posOffset>
            </wp:positionH>
            <wp:positionV relativeFrom="paragraph">
              <wp:posOffset>364490</wp:posOffset>
            </wp:positionV>
            <wp:extent cx="6438265" cy="3695700"/>
            <wp:effectExtent l="0" t="0" r="0" b="0"/>
            <wp:wrapTight wrapText="bothSides">
              <wp:wrapPolygon edited="0">
                <wp:start x="-77" y="0"/>
                <wp:lineTo x="-77" y="21473"/>
                <wp:lineTo x="21600" y="21473"/>
                <wp:lineTo x="21600" y="0"/>
                <wp:lineTo x="-77" y="0"/>
              </wp:wrapPolygon>
            </wp:wrapTight>
            <wp:docPr id="1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>Р</w:t>
      </w:r>
      <w:r>
        <w:rPr>
          <w:rFonts w:ascii="Times New Roman" w:hAnsi="Times New Roman"/>
          <w:b/>
          <w:sz w:val="32"/>
          <w:szCs w:val="32"/>
        </w:rPr>
        <w:t>асходы по основным функциям муниципального образования.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Николаевского муниципального образования по разделам в 2019-2023 годах.</w:t>
        <w:tab/>
        <w:tab/>
        <w:tab/>
        <w:tab/>
        <w:tab/>
        <w:tab/>
        <w:tab/>
        <w:tab/>
        <w:tab/>
      </w:r>
      <w:r>
        <w:rPr>
          <w:rFonts w:ascii="Times New Roman" w:hAnsi="Times New Roman"/>
          <w:sz w:val="28"/>
          <w:szCs w:val="28"/>
        </w:rPr>
        <w:tab/>
        <w:tab/>
        <w:tab/>
        <w:tab/>
        <w:tab/>
        <w:tab/>
        <w:tab/>
        <w:tab/>
        <w:t>%</w:t>
      </w:r>
    </w:p>
    <w:tbl>
      <w:tblPr>
        <w:tblW w:w="11058" w:type="dxa"/>
        <w:jc w:val="left"/>
        <w:tblInd w:w="-8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134"/>
        <w:gridCol w:w="4395"/>
        <w:gridCol w:w="1276"/>
        <w:gridCol w:w="1133"/>
        <w:gridCol w:w="992"/>
        <w:gridCol w:w="1133"/>
        <w:gridCol w:w="994"/>
      </w:tblGrid>
      <w:tr>
        <w:trPr>
          <w:trHeight w:val="288" w:hRule="atLeast"/>
        </w:trPr>
        <w:tc>
          <w:tcPr>
            <w:tcW w:w="11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2019г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2020г оценка</w:t>
            </w:r>
          </w:p>
        </w:tc>
        <w:tc>
          <w:tcPr>
            <w:tcW w:w="311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>
        <w:trPr>
          <w:trHeight w:val="348" w:hRule="atLeast"/>
        </w:trPr>
        <w:tc>
          <w:tcPr>
            <w:tcW w:w="113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439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13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82,1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84,7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85,7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86,8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7,4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7,6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5,4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6743700" cy="2590800"/>
            <wp:effectExtent l="0" t="0" r="0" b="0"/>
            <wp:docPr id="15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Николаевского муниципального образования по основным разделам на душу населения</w:t>
        <w:tab/>
        <w:tab/>
        <w:tab/>
        <w:tab/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11163" w:type="dxa"/>
        <w:jc w:val="left"/>
        <w:tblInd w:w="-102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126"/>
        <w:gridCol w:w="3659"/>
        <w:gridCol w:w="1515"/>
        <w:gridCol w:w="1267"/>
        <w:gridCol w:w="1260"/>
        <w:gridCol w:w="1168"/>
        <w:gridCol w:w="1167"/>
      </w:tblGrid>
      <w:tr>
        <w:trPr>
          <w:trHeight w:val="342" w:hRule="atLeast"/>
        </w:trPr>
        <w:tc>
          <w:tcPr>
            <w:tcW w:w="1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6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1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 год</w:t>
            </w:r>
          </w:p>
        </w:tc>
        <w:tc>
          <w:tcPr>
            <w:tcW w:w="35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612" w:hRule="atLeast"/>
        </w:trPr>
        <w:tc>
          <w:tcPr>
            <w:tcW w:w="112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6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51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6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>
        <w:trPr/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3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2028,17</w:t>
            </w:r>
          </w:p>
        </w:tc>
        <w:tc>
          <w:tcPr>
            <w:tcW w:w="1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2243,33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1645,87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1641,38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1647,78</w:t>
            </w:r>
          </w:p>
        </w:tc>
      </w:tr>
      <w:tr>
        <w:trPr/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162,20</w:t>
            </w:r>
          </w:p>
        </w:tc>
        <w:tc>
          <w:tcPr>
            <w:tcW w:w="1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10,36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144,94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118,65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85,79</w:t>
            </w:r>
          </w:p>
        </w:tc>
      </w:tr>
      <w:tr>
        <w:trPr/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5,24</w:t>
            </w:r>
          </w:p>
        </w:tc>
        <w:tc>
          <w:tcPr>
            <w:tcW w:w="1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5,33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10,66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10,66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10,66</w:t>
            </w:r>
          </w:p>
        </w:tc>
      </w:tr>
      <w:tr>
        <w:trPr/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2939,65</w:t>
            </w:r>
          </w:p>
        </w:tc>
        <w:tc>
          <w:tcPr>
            <w:tcW w:w="1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3700,53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2237,83</w:t>
            </w:r>
          </w:p>
        </w:tc>
        <w:tc>
          <w:tcPr>
            <w:tcW w:w="1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2205,33</w:t>
            </w:r>
          </w:p>
        </w:tc>
        <w:tc>
          <w:tcPr>
            <w:tcW w:w="1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2178,86</w:t>
            </w:r>
          </w:p>
        </w:tc>
      </w:tr>
    </w:tbl>
    <w:p>
      <w:pPr>
        <w:pStyle w:val="Normal"/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5629275" cy="2790825"/>
            <wp:effectExtent l="0" t="0" r="0" b="0"/>
            <wp:docPr id="16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>
      <w:pPr>
        <w:pStyle w:val="Normal"/>
        <w:spacing w:lineRule="auto" w:line="240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Расходы бюджета Николаевского муниципального образования запланированы на 2021 год  в сумме 1259,9 тыс. рублей, на 2022 год в сумме </w:t>
      </w:r>
      <w:r>
        <w:rPr>
          <w:rFonts w:ascii="Times New Roman" w:hAnsi="Times New Roman"/>
          <w:sz w:val="26"/>
          <w:szCs w:val="26"/>
        </w:rPr>
        <w:t>1241,6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2023 год  сумме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1226,7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>
        <w:rPr>
          <w:sz w:val="28"/>
          <w:szCs w:val="28"/>
        </w:rPr>
        <w:tab/>
        <w:tab/>
        <w:tab/>
        <w:tab/>
        <w:tab/>
        <w:tab/>
        <w:tab/>
        <w:tab/>
      </w:r>
    </w:p>
    <w:p>
      <w:pPr>
        <w:pStyle w:val="Normal"/>
        <w:spacing w:lineRule="auto" w:line="240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тыс.руб.</w:t>
      </w:r>
    </w:p>
    <w:tbl>
      <w:tblPr>
        <w:tblW w:w="11199" w:type="dxa"/>
        <w:jc w:val="left"/>
        <w:tblInd w:w="-8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827"/>
        <w:gridCol w:w="1277"/>
        <w:gridCol w:w="1418"/>
        <w:gridCol w:w="1416"/>
        <w:gridCol w:w="1135"/>
        <w:gridCol w:w="1134"/>
        <w:gridCol w:w="991"/>
      </w:tblGrid>
      <w:tr>
        <w:trPr>
          <w:trHeight w:val="348" w:hRule="atLeast"/>
        </w:trPr>
        <w:tc>
          <w:tcPr>
            <w:tcW w:w="382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2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41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 год</w:t>
            </w:r>
          </w:p>
        </w:tc>
        <w:tc>
          <w:tcPr>
            <w:tcW w:w="326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>
        <w:trPr>
          <w:trHeight w:val="624" w:hRule="atLeast"/>
        </w:trPr>
        <w:tc>
          <w:tcPr>
            <w:tcW w:w="382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41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41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2021 г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13" style="width:52.8pt;height:39pt" o:ole="">
                  <v:imagedata r:id="rId14" o:title=""/>
                </v:shape>
                <o:OLEObject Type="Embed" ProgID="PBrush" ShapeID="ole_rId13" DrawAspect="Content" ObjectID="_1209705875" r:id="rId13"/>
              </w:objec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1380,6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1415,7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1067,6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1064,2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1064,2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15" style="width:51pt;height:41.4pt" o:ole="">
                  <v:imagedata r:id="rId16" o:title=""/>
                </v:shape>
                <o:OLEObject Type="Embed" ProgID="PBrush" ShapeID="ole_rId15" DrawAspect="Content" ObjectID="_772976689" r:id="rId15"/>
              </w:objec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81,0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93,7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94,6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98,2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17" style="width:48pt;height:42.6pt" o:ole="">
                  <v:imagedata r:id="rId18" o:title=""/>
                </v:shape>
                <o:OLEObject Type="Embed" ProgID="PBrush" ShapeID="ole_rId17" DrawAspect="Content" ObjectID="_1824753466" r:id="rId17"/>
              </w:objec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19" style="width:45pt;height:42pt" o:ole="">
                  <v:imagedata r:id="rId20" o:title=""/>
                </v:shape>
                <o:OLEObject Type="Embed" ProgID="PBrush" ShapeID="ole_rId19" DrawAspect="Content" ObjectID="_1130792419" r:id="rId19"/>
              </w:objec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583,4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81,6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66,8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48,3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21" style="width:45.6pt;height:36.6pt" o:ole="">
                  <v:imagedata r:id="rId22" o:title=""/>
                </v:shape>
                <o:OLEObject Type="Embed" ProgID="PBrush" ShapeID="ole_rId21" DrawAspect="Content" ObjectID="_1050537432" r:id="rId21"/>
              </w:objec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92,8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23" style="width:45pt;height:36pt" o:ole="">
                  <v:imagedata r:id="rId24" o:title=""/>
                </v:shape>
                <o:OLEObject Type="Embed" ProgID="PBrush" ShapeID="ole_rId23" DrawAspect="Content" ObjectID="_380945568" r:id="rId23"/>
              </w:objec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1681,5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2083,1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1259,9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1241,6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1226,7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tabs>
          <w:tab w:val="left" w:pos="3450" w:leader="none"/>
        </w:tabs>
        <w:rPr/>
      </w:pPr>
      <w:r>
        <w:rPr/>
      </w:r>
    </w:p>
    <w:p>
      <w:pPr>
        <w:pStyle w:val="BodyText2"/>
        <w:spacing w:lineRule="auto" w:line="240" w:before="0" w:after="0"/>
        <w:ind w:left="-851" w:firstLine="142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>Бюджетные ассигнования бюджета Николаевского муниципального</w:t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>
      <w:pPr>
        <w:pStyle w:val="Normal"/>
        <w:spacing w:lineRule="auto" w:line="240"/>
        <w:ind w:left="7788" w:firstLine="708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  <w:tab/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1162" w:type="dxa"/>
        <w:jc w:val="left"/>
        <w:tblInd w:w="-8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910"/>
        <w:gridCol w:w="1559"/>
        <w:gridCol w:w="1276"/>
        <w:gridCol w:w="1416"/>
      </w:tblGrid>
      <w:tr>
        <w:trPr>
          <w:trHeight w:val="344" w:hRule="atLeast"/>
        </w:trPr>
        <w:tc>
          <w:tcPr>
            <w:tcW w:w="69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2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>
        <w:trPr>
          <w:trHeight w:val="636" w:hRule="atLeast"/>
        </w:trPr>
        <w:tc>
          <w:tcPr>
            <w:tcW w:w="691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2022 год</w:t>
            </w:r>
          </w:p>
        </w:tc>
        <w:tc>
          <w:tcPr>
            <w:tcW w:w="141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2023 год</w:t>
            </w:r>
          </w:p>
        </w:tc>
      </w:tr>
      <w:tr>
        <w:trPr>
          <w:trHeight w:val="439" w:hRule="atLeast"/>
        </w:trPr>
        <w:tc>
          <w:tcPr>
            <w:tcW w:w="691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«Развитие Николаевского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87,6</w:t>
            </w:r>
          </w:p>
        </w:tc>
        <w:tc>
          <w:tcPr>
            <w:tcW w:w="1276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72,8</w:t>
            </w:r>
          </w:p>
        </w:tc>
        <w:tc>
          <w:tcPr>
            <w:tcW w:w="1416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54,3</w:t>
            </w:r>
          </w:p>
        </w:tc>
      </w:tr>
      <w:tr>
        <w:trPr>
          <w:trHeight w:val="255" w:hRule="atLeast"/>
        </w:trPr>
        <w:tc>
          <w:tcPr>
            <w:tcW w:w="6910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1559" w:type="dxa"/>
            <w:tcBorders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81,6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66,8</w:t>
            </w:r>
          </w:p>
        </w:tc>
        <w:tc>
          <w:tcPr>
            <w:tcW w:w="1416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48,3</w:t>
            </w:r>
          </w:p>
        </w:tc>
      </w:tr>
      <w:tr>
        <w:trPr>
          <w:trHeight w:val="180" w:hRule="atLeast"/>
        </w:trPr>
        <w:tc>
          <w:tcPr>
            <w:tcW w:w="6910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1559" w:type="dxa"/>
            <w:tcBorders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416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</w:tbl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W w:w="11058" w:type="dxa"/>
        <w:jc w:val="left"/>
        <w:tblInd w:w="-8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546"/>
        <w:gridCol w:w="1120"/>
        <w:gridCol w:w="1277"/>
        <w:gridCol w:w="992"/>
        <w:gridCol w:w="1277"/>
        <w:gridCol w:w="1134"/>
        <w:gridCol w:w="1711"/>
      </w:tblGrid>
      <w:tr>
        <w:trPr>
          <w:trHeight w:val="429" w:hRule="atLeast"/>
        </w:trPr>
        <w:tc>
          <w:tcPr>
            <w:tcW w:w="354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7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01.01.2022г.</w:t>
            </w:r>
          </w:p>
        </w:tc>
        <w:tc>
          <w:tcPr>
            <w:tcW w:w="226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01.01.2023г.</w:t>
            </w:r>
          </w:p>
        </w:tc>
        <w:tc>
          <w:tcPr>
            <w:tcW w:w="2845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01.01.2024г.</w:t>
            </w:r>
          </w:p>
        </w:tc>
      </w:tr>
      <w:tr>
        <w:trPr>
          <w:trHeight w:val="537" w:hRule="atLeast"/>
        </w:trPr>
        <w:tc>
          <w:tcPr>
            <w:tcW w:w="35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120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711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shd w:fill="C2D69B" w:val="clear"/>
              </w:rPr>
              <w:t>Удельный вес, в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>
        <w:trPr>
          <w:trHeight w:val="258" w:hRule="atLeast"/>
        </w:trPr>
        <w:tc>
          <w:tcPr>
            <w:tcW w:w="35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120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277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992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277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711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</w:r>
          </w:p>
        </w:tc>
      </w:tr>
      <w:tr>
        <w:trPr>
          <w:trHeight w:val="630" w:hRule="atLeast"/>
        </w:trPr>
        <w:tc>
          <w:tcPr>
            <w:tcW w:w="3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1120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>
        <w:trPr>
          <w:trHeight w:val="315" w:hRule="atLeast"/>
        </w:trPr>
        <w:tc>
          <w:tcPr>
            <w:tcW w:w="3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>
        <w:trPr>
          <w:trHeight w:val="315" w:hRule="atLeast"/>
        </w:trPr>
        <w:tc>
          <w:tcPr>
            <w:tcW w:w="3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Муниципальный долг в Николаевском муниципальном образовании по состоянию на 01.01.2021г. – отсутствует.</w:t>
      </w:r>
    </w:p>
    <w:p>
      <w:pPr>
        <w:pStyle w:val="Normal"/>
        <w:tabs>
          <w:tab w:val="left" w:pos="1560" w:leader="none"/>
        </w:tabs>
        <w:rPr/>
      </w:pPr>
      <w:r>
        <w:rPr/>
      </w:r>
    </w:p>
    <w:p>
      <w:pPr>
        <w:pStyle w:val="Normal"/>
        <w:tabs>
          <w:tab w:val="left" w:pos="1560" w:leader="none"/>
        </w:tabs>
        <w:rPr/>
      </w:pPr>
      <w:r>
        <w:rPr/>
      </w:r>
    </w:p>
    <w:p>
      <w:pPr>
        <w:pStyle w:val="Normal"/>
        <w:tabs>
          <w:tab w:val="left" w:pos="1560" w:leader="none"/>
        </w:tabs>
        <w:jc w:val="right"/>
        <w:rPr/>
      </w:pPr>
      <w:r>
        <w:rPr/>
        <w:drawing>
          <wp:inline distT="0" distB="0" distL="19050" distR="635">
            <wp:extent cx="4533265" cy="1409700"/>
            <wp:effectExtent l="0" t="0" r="0" b="0"/>
            <wp:docPr id="17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1560" w:leader="none"/>
        </w:tabs>
        <w:rPr/>
      </w:pPr>
      <w:r>
        <w:rPr/>
      </w:r>
    </w:p>
    <w:p>
      <w:pPr>
        <w:pStyle w:val="Normal"/>
        <w:tabs>
          <w:tab w:val="left" w:pos="1560" w:leader="none"/>
        </w:tabs>
        <w:rPr/>
      </w:pPr>
      <w:r>
        <w:rPr/>
        <w:drawing>
          <wp:anchor behindDoc="0" distT="0" distB="0" distL="133350" distR="0" simplePos="0" locked="0" layoutInCell="1" allowOverlap="1" relativeHeight="7">
            <wp:simplePos x="0" y="0"/>
            <wp:positionH relativeFrom="column">
              <wp:align>right</wp:align>
            </wp:positionH>
            <wp:positionV relativeFrom="paragraph">
              <wp:posOffset>521970</wp:posOffset>
            </wp:positionV>
            <wp:extent cx="876300" cy="609600"/>
            <wp:effectExtent l="0" t="0" r="0" b="0"/>
            <wp:wrapSquare wrapText="largest"/>
            <wp:docPr id="18" name="Рисунок 21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1" descr="contact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Адрес:  413320, Саратовская область, Ивантеевский район с.Николаевка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>График работы с 8-00 до 16-12, перерыв с 12-00 до 13-00.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Телефоны  (8 84579 5-44-21)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/>
          <w:color w:val="000000"/>
          <w:sz w:val="28"/>
          <w:szCs w:val="28"/>
        </w:rPr>
        <w:t>Тел.5- 44-21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>Глава Николаевского муниципального образования   Демидов А.А.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Электронная почта: nikolaevkaadm2@yandex.ru</w:t>
      </w:r>
    </w:p>
    <w:p>
      <w:pPr>
        <w:pStyle w:val="Normal"/>
        <w:spacing w:before="0" w:after="200"/>
        <w:ind w:firstLine="708"/>
        <w:rPr/>
      </w:pPr>
      <w:r>
        <w:rPr/>
      </w:r>
    </w:p>
    <w:sectPr>
      <w:type w:val="nextPage"/>
      <w:pgSz w:w="11906" w:h="16838"/>
      <w:pgMar w:left="1418" w:right="567" w:header="0" w:top="454" w:footer="0" w:bottom="45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b3134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68253c"/>
    <w:rPr>
      <w:rFonts w:ascii="Tahoma" w:hAnsi="Tahoma" w:cs="Tahoma"/>
      <w:sz w:val="16"/>
      <w:szCs w:val="16"/>
      <w:lang w:eastAsia="en-US"/>
    </w:rPr>
  </w:style>
  <w:style w:type="character" w:styleId="2" w:customStyle="1">
    <w:name w:val="Основной текст 2 Знак"/>
    <w:basedOn w:val="DefaultParagraphFont"/>
    <w:link w:val="2"/>
    <w:uiPriority w:val="99"/>
    <w:qFormat/>
    <w:rsid w:val="0095738f"/>
    <w:rPr>
      <w:rFonts w:ascii="Calibri" w:hAnsi="Calibri" w:eastAsia="" w:cs="" w:asciiTheme="minorHAnsi" w:cstheme="minorBidi" w:eastAsiaTheme="minorEastAsia" w:hAnsiTheme="minorHAnsi"/>
      <w:sz w:val="22"/>
      <w:szCs w:val="22"/>
      <w:lang w:val="en-US" w:eastAsia="en-US" w:bidi="en-US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unhideWhenUsed/>
    <w:qFormat/>
    <w:rsid w:val="00f51f39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68253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ec0"/>
    <w:pPr>
      <w:spacing w:before="0" w:after="200"/>
      <w:ind w:left="720" w:hanging="0"/>
      <w:contextualSpacing/>
    </w:pPr>
    <w:rPr>
      <w:rFonts w:eastAsia="Calibri"/>
    </w:rPr>
  </w:style>
  <w:style w:type="paragraph" w:styleId="BodyText2">
    <w:name w:val="Body Text 2"/>
    <w:basedOn w:val="Normal"/>
    <w:link w:val="20"/>
    <w:uiPriority w:val="99"/>
    <w:unhideWhenUsed/>
    <w:qFormat/>
    <w:rsid w:val="0095738f"/>
    <w:pPr>
      <w:spacing w:lineRule="auto" w:line="480" w:before="0" w:after="120"/>
    </w:pPr>
    <w:rPr>
      <w:rFonts w:ascii="Calibri" w:hAnsi="Calibri" w:eastAsia="" w:cs="" w:asciiTheme="minorHAnsi" w:cstheme="minorBidi" w:eastAsiaTheme="minorEastAsia" w:hAnsiTheme="minorHAnsi"/>
      <w:lang w:val="en-US" w:bidi="en-US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99"/>
    <w:rsid w:val="007e1ec0"/>
    <w:rPr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-4">
    <w:name w:val="Medium Shading 1 Accent 4"/>
    <w:basedOn w:val="a1"/>
    <w:uiPriority w:val="63"/>
    <w:rsid w:val="007e1ec0"/>
    <w:rPr>
      <w:rFonts w:asciiTheme="minorHAnsi" w:hAnsiTheme="minorHAnsi" w:eastAsiaTheme="minorEastAsia" w:cstheme="minorBidi"/>
      <w:lang w:val="en-US" w:eastAsia="en-US" w:bidi="en-US"/>
      <w:sz w:val="22"/>
      <w:szCs w:val="22"/>
    </w:r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sz="8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sz="6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chart" Target="charts/chart1.xml"/><Relationship Id="rId9" Type="http://schemas.openxmlformats.org/officeDocument/2006/relationships/image" Target="media/image7.jpeg"/><Relationship Id="rId10" Type="http://schemas.openxmlformats.org/officeDocument/2006/relationships/image" Target="media/image8.png"/><Relationship Id="rId11" Type="http://schemas.openxmlformats.org/officeDocument/2006/relationships/chart" Target="charts/chart2.xml"/><Relationship Id="rId12" Type="http://schemas.openxmlformats.org/officeDocument/2006/relationships/chart" Target="charts/chart3.xml"/><Relationship Id="rId13" Type="http://schemas.openxmlformats.org/officeDocument/2006/relationships/oleObject" Target="embeddings/oleObject1.bin"/><Relationship Id="rId14" Type="http://schemas.openxmlformats.org/officeDocument/2006/relationships/image" Target="media/image9.emf"/><Relationship Id="rId15" Type="http://schemas.openxmlformats.org/officeDocument/2006/relationships/oleObject" Target="embeddings/oleObject2.bin"/><Relationship Id="rId16" Type="http://schemas.openxmlformats.org/officeDocument/2006/relationships/image" Target="media/image10.emf"/><Relationship Id="rId17" Type="http://schemas.openxmlformats.org/officeDocument/2006/relationships/oleObject" Target="embeddings/oleObject3.bin"/><Relationship Id="rId18" Type="http://schemas.openxmlformats.org/officeDocument/2006/relationships/image" Target="media/image11.emf"/><Relationship Id="rId19" Type="http://schemas.openxmlformats.org/officeDocument/2006/relationships/oleObject" Target="embeddings/oleObject4.bin"/><Relationship Id="rId20" Type="http://schemas.openxmlformats.org/officeDocument/2006/relationships/image" Target="media/image12.emf"/><Relationship Id="rId21" Type="http://schemas.openxmlformats.org/officeDocument/2006/relationships/oleObject" Target="embeddings/oleObject5.bin"/><Relationship Id="rId22" Type="http://schemas.openxmlformats.org/officeDocument/2006/relationships/image" Target="media/image13.emf"/><Relationship Id="rId23" Type="http://schemas.openxmlformats.org/officeDocument/2006/relationships/oleObject" Target="embeddings/oleObject6.bin"/><Relationship Id="rId24" Type="http://schemas.openxmlformats.org/officeDocument/2006/relationships/image" Target="media/image14.emf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fontTable" Target="fontTable.xml"/><Relationship Id="rId28" Type="http://schemas.openxmlformats.org/officeDocument/2006/relationships/settings" Target="settings.xml"/><Relationship Id="rId29" Type="http://schemas.openxmlformats.org/officeDocument/2006/relationships/theme" Target="theme/theme1.xml"/><Relationship Id="rId30" Type="http://schemas.openxmlformats.org/officeDocument/2006/relationships/customXml" Target="../customXml/item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Microsoft_Excel_Worksheet1.xlsx"/>
</Relationships>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Microsoft_Excel_Worksheet2.xlsx"/>
</Relationships>
</file>

<file path=word/charts/_rels/chart3.xml.rels><?xml version="1.0" encoding="UTF-8"?>
<Relationships xmlns="http://schemas.openxmlformats.org/package/2006/relationships"><Relationship Id="rId1" Type="http://schemas.openxmlformats.org/officeDocument/2006/relationships/package" Target="../embeddings/Microsoft_Excel_Worksheet3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title>
      <c:tx>
        <c:rich>
          <a:bodyPr rot="0"/>
          <a:lstStyle/>
          <a:p>
            <a:pPr>
              <a:defRPr b="1" sz="1800" spc="-1" strike="noStrike">
                <a:solidFill>
                  <a:srgbClr val="000000"/>
                </a:solidFill>
                <a:latin typeface="Times New Roman"/>
              </a:defRPr>
            </a:pPr>
            <a:r>
              <a:rPr b="1" sz="1800" spc="-1" strike="noStrike">
                <a:solidFill>
                  <a:srgbClr val="000000"/>
                </a:solidFill>
                <a:latin typeface="Times New Roman"/>
              </a:rPr>
              <a:t>Структура доходов</a:t>
            </a:r>
          </a:p>
        </c:rich>
      </c:tx>
      <c:overlay val="0"/>
    </c:title>
    <c:autoTitleDeleted val="0"/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НДФЛ</c:v>
                </c:pt>
              </c:strCache>
            </c:strRef>
          </c:tx>
          <c:spPr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3.7</c:v>
                </c:pt>
                <c:pt idx="1">
                  <c:v>5.8</c:v>
                </c:pt>
                <c:pt idx="2">
                  <c:v>7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ЕСХН</c:v>
                </c:pt>
              </c:strCache>
            </c:strRef>
          </c:tx>
          <c:spPr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5"/>
                <c:pt idx="0">
                  <c:v>9.2</c:v>
                </c:pt>
                <c:pt idx="1">
                  <c:v>11.5</c:v>
                </c:pt>
                <c:pt idx="2">
                  <c:v>13.1</c:v>
                </c:pt>
                <c:pt idx="3">
                  <c:v>13.6</c:v>
                </c:pt>
                <c:pt idx="4">
                  <c:v>14.1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spPr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5"/>
                <c:pt idx="0">
                  <c:v>5.6</c:v>
                </c:pt>
                <c:pt idx="1">
                  <c:v>3.9</c:v>
                </c:pt>
                <c:pt idx="2">
                  <c:v>5.9</c:v>
                </c:pt>
                <c:pt idx="3">
                  <c:v>5.8</c:v>
                </c:pt>
                <c:pt idx="4">
                  <c:v>5.8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Земельный налог</c:v>
                </c:pt>
              </c:strCache>
            </c:strRef>
          </c:tx>
          <c:spPr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5"/>
                <c:pt idx="0">
                  <c:v>67.4</c:v>
                </c:pt>
                <c:pt idx="1">
                  <c:v>47.3</c:v>
                </c:pt>
                <c:pt idx="2">
                  <c:v>63.9</c:v>
                </c:pt>
                <c:pt idx="3">
                  <c:v>63.4</c:v>
                </c:pt>
                <c:pt idx="4">
                  <c:v>62.7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5"/>
                <c:pt idx="0">
                  <c:v>0.2</c:v>
                </c:pt>
                <c:pt idx="1">
                  <c:v>0.2</c:v>
                </c:pt>
                <c:pt idx="2">
                  <c:v>0.3</c:v>
                </c:pt>
                <c:pt idx="3">
                  <c:v>0.3</c:v>
                </c:pt>
                <c:pt idx="4">
                  <c:v>0.3</c:v>
                </c:pt>
              </c:numCache>
            </c:numRef>
          </c:val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ln>
              <a:noFill/>
            </a:ln>
          </c:spPr>
          <c:invertIfNegative val="0"/>
          <c:dLbls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5</c:f>
              <c:numCache>
                <c:formatCode>General</c:formatCode>
                <c:ptCount val="5"/>
                <c:pt idx="0">
                  <c:v>13.9</c:v>
                </c:pt>
                <c:pt idx="1">
                  <c:v>31.3</c:v>
                </c:pt>
                <c:pt idx="2">
                  <c:v>9.8</c:v>
                </c:pt>
                <c:pt idx="3">
                  <c:v>9.9</c:v>
                </c:pt>
                <c:pt idx="4">
                  <c:v>10.1</c:v>
                </c:pt>
              </c:numCache>
            </c:numRef>
          </c:val>
        </c:ser>
        <c:gapWidth val="150"/>
        <c:overlap val="0"/>
        <c:axId val="21054871"/>
        <c:axId val="25468820"/>
      </c:barChart>
      <c:catAx>
        <c:axId val="21054871"/>
        <c:scaling>
          <c:orientation val="minMax"/>
        </c:scaling>
        <c:delete val="0"/>
        <c:axPos val="b"/>
        <c:numFmt formatCode="MM/DD/YYYY" sourceLinked="1"/>
        <c:majorTickMark val="none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latin typeface="Calibri"/>
              </a:defRPr>
            </a:pPr>
          </a:p>
        </c:txPr>
        <c:crossAx val="25468820"/>
        <c:crosses val="autoZero"/>
        <c:auto val="1"/>
        <c:lblAlgn val="ctr"/>
        <c:lblOffset val="100"/>
      </c:catAx>
      <c:valAx>
        <c:axId val="25468820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b="0" sz="1800" spc="-1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b="0" sz="1800" spc="-1" strike="noStrike">
                    <a:solidFill>
                      <a:srgbClr val="000000"/>
                    </a:solidFill>
                    <a:latin typeface="Times New Roman"/>
                  </a:rPr>
                  <a:t>%</a:t>
                </a:r>
              </a:p>
            </c:rich>
          </c:tx>
          <c:overlay val="0"/>
        </c:title>
        <c:numFmt formatCode="0.0" sourceLinked="0"/>
        <c:majorTickMark val="none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latin typeface="Calibri"/>
              </a:defRPr>
            </a:pPr>
          </a:p>
        </c:txPr>
        <c:crossAx val="21054871"/>
        <c:crosses val="autoZero"/>
      </c:valAx>
      <c:dTable>
        <c:showHorzBorder val="1"/>
        <c:showVertBorder val="1"/>
        <c:showOutline val="1"/>
      </c:dTable>
      <c:spPr>
        <a:solidFill>
          <a:srgbClr val="ebf1de"/>
        </a:solidFill>
        <a:ln>
          <a:noFill/>
        </a:ln>
      </c:spPr>
    </c:plotArea>
    <c:plotVisOnly val="1"/>
    <c:dispBlanksAs val="gap"/>
  </c:chart>
  <c:spPr>
    <a:solidFill>
      <a:srgbClr val="ebf1de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c0c0c0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82.1</c:v>
                </c:pt>
                <c:pt idx="1">
                  <c:v>77.4</c:v>
                </c:pt>
                <c:pt idx="2">
                  <c:v>84.7</c:v>
                </c:pt>
                <c:pt idx="3">
                  <c:v>85.7</c:v>
                </c:pt>
                <c:pt idx="4">
                  <c:v>86.8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5"/>
                <c:pt idx="0">
                  <c:v>4.9</c:v>
                </c:pt>
                <c:pt idx="1">
                  <c:v>4.5</c:v>
                </c:pt>
                <c:pt idx="2">
                  <c:v>7.4</c:v>
                </c:pt>
                <c:pt idx="3">
                  <c:v>7.6</c:v>
                </c:pt>
                <c:pt idx="4">
                  <c:v>8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5"/>
                <c:pt idx="0">
                  <c:v>7.2</c:v>
                </c:pt>
                <c:pt idx="1">
                  <c:v>6.7</c:v>
                </c:pt>
                <c:pt idx="2">
                  <c:v>0.9</c:v>
                </c:pt>
                <c:pt idx="3">
                  <c:v>0.8</c:v>
                </c:pt>
                <c:pt idx="4">
                  <c:v>0.8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5"/>
                <c:pt idx="0">
                  <c:v>5.5</c:v>
                </c:pt>
                <c:pt idx="1">
                  <c:v>10.5</c:v>
                </c:pt>
                <c:pt idx="2">
                  <c:v>6.5</c:v>
                </c:pt>
                <c:pt idx="3">
                  <c:v>5.4</c:v>
                </c:pt>
                <c:pt idx="4">
                  <c:v>3.9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5"/>
                <c:pt idx="0">
                  <c:v>0.1</c:v>
                </c:pt>
                <c:pt idx="1">
                  <c:v>0.9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</c:numCache>
            </c:numRef>
          </c:val>
        </c:ser>
        <c:gapWidth val="150"/>
        <c:shape val="box"/>
        <c:axId val="21306896"/>
        <c:axId val="80174163"/>
        <c:axId val="0"/>
      </c:bar3DChart>
      <c:catAx>
        <c:axId val="21306896"/>
        <c:scaling>
          <c:orientation val="minMax"/>
        </c:scaling>
        <c:delete val="0"/>
        <c:axPos val="b"/>
        <c:numFmt formatCode="MM/DD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799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80174163"/>
        <c:crosses val="autoZero"/>
        <c:auto val="1"/>
        <c:lblAlgn val="ctr"/>
        <c:lblOffset val="100"/>
      </c:catAx>
      <c:valAx>
        <c:axId val="80174163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799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21306896"/>
        <c:crosses val="autoZero"/>
      </c:valAx>
      <c:spPr>
        <a:solidFill>
          <a:srgbClr val="c0c0c0"/>
        </a:solidFill>
        <a:ln w="12600">
          <a:solidFill>
            <a:srgbClr val="808080"/>
          </a:solidFill>
          <a:round/>
        </a:ln>
      </c:spPr>
    </c:plotArea>
    <c:legend>
      <c:layout>
        <c:manualLayout>
          <c:xMode val="edge"/>
          <c:yMode val="edge"/>
          <c:x val="0.6265"/>
          <c:y val="0.266222222222222"/>
        </c:manualLayout>
      </c:layout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00ffff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2028.17</c:v>
                </c:pt>
                <c:pt idx="1">
                  <c:v>2243.33</c:v>
                </c:pt>
                <c:pt idx="2">
                  <c:v>1645.87</c:v>
                </c:pt>
                <c:pt idx="3">
                  <c:v>1641.38</c:v>
                </c:pt>
                <c:pt idx="4">
                  <c:v>1647.78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5"/>
                <c:pt idx="0">
                  <c:v>162.2</c:v>
                </c:pt>
                <c:pt idx="1">
                  <c:v>10.36</c:v>
                </c:pt>
                <c:pt idx="2">
                  <c:v>144.94</c:v>
                </c:pt>
                <c:pt idx="3">
                  <c:v>118.65</c:v>
                </c:pt>
                <c:pt idx="4">
                  <c:v>85.79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ffcc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5"/>
                <c:pt idx="0">
                  <c:v>5.24</c:v>
                </c:pt>
                <c:pt idx="1">
                  <c:v>5.33</c:v>
                </c:pt>
                <c:pt idx="2">
                  <c:v>10.66</c:v>
                </c:pt>
                <c:pt idx="3">
                  <c:v>10.66</c:v>
                </c:pt>
                <c:pt idx="4">
                  <c:v>10.66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ccff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5"/>
                <c:pt idx="0">
                  <c:v>2939.65</c:v>
                </c:pt>
                <c:pt idx="1">
                  <c:v>3700.53</c:v>
                </c:pt>
                <c:pt idx="2">
                  <c:v>2237.83</c:v>
                </c:pt>
                <c:pt idx="3">
                  <c:v>2205.33</c:v>
                </c:pt>
                <c:pt idx="4">
                  <c:v>2178.86</c:v>
                </c:pt>
              </c:numCache>
            </c:numRef>
          </c:val>
        </c:ser>
        <c:gapWidth val="150"/>
        <c:shape val="box"/>
        <c:axId val="70325724"/>
        <c:axId val="22741158"/>
        <c:axId val="0"/>
      </c:bar3DChart>
      <c:catAx>
        <c:axId val="70325724"/>
        <c:scaling>
          <c:orientation val="minMax"/>
        </c:scaling>
        <c:delete val="0"/>
        <c:axPos val="b"/>
        <c:numFmt formatCode="MM/DD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997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22741158"/>
        <c:crosses val="autoZero"/>
        <c:auto val="1"/>
        <c:lblAlgn val="ctr"/>
        <c:lblOffset val="100"/>
      </c:catAx>
      <c:valAx>
        <c:axId val="22741158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997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70325724"/>
        <c:crosses val="autoZero"/>
      </c:valAx>
      <c:spPr>
        <a:solidFill>
          <a:srgbClr val="00ffff"/>
        </a:solidFill>
        <a:ln w="12600">
          <a:solidFill>
            <a:srgbClr val="808080"/>
          </a:solidFill>
          <a:round/>
        </a:ln>
      </c:spPr>
    </c:plotArea>
    <c:legend>
      <c:layout>
        <c:manualLayout>
          <c:xMode val="edge"/>
          <c:yMode val="edge"/>
          <c:x val="0.694125"/>
          <c:y val="0.0847777777777778"/>
        </c:manualLayout>
      </c:layout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186C03-2837-4733-9316-40227D8BF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Application>LibreOffice/5.4.3.2$Windows_X86_64 LibreOffice_project/92a7159f7e4af62137622921e809f8546db437e5</Application>
  <Pages>11</Pages>
  <Words>1068</Words>
  <Characters>6944</Characters>
  <CharactersWithSpaces>7972</CharactersWithSpaces>
  <Paragraphs>463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2020-11-16T09:58:00Z</dcterms:created>
  <dc:creator>пользователь</dc:creator>
  <dc:description/>
  <dc:language>ru-RU</dc:language>
  <cp:lastModifiedBy/>
  <cp:lastPrinted>2016-12-13T07:07:00Z</cp:lastPrinted>
  <dcterms:modified xsi:type="dcterms:W3CDTF">2020-12-21T09:22:01Z</dcterms:modified>
  <cp:revision>41</cp:revision>
  <dc:subject/>
  <dc:title>Уважаемые жители Ивантеевского муниципального района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