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708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Уважаемые жители Раевского муниципального образования.</w:t>
      </w: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Бюджет для граждан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Бюджет для граждан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предназначен прежде всего для жителей , не обладающих специальными знаниями в сфере бюджетного законодательства. Информация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Бюджет для граждан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доступной форме знакомит граждан с основными характеристиками бюджета Раевского муниципального образования.</w:t>
      </w:r>
    </w:p>
    <w:p>
      <w:pPr>
        <w:spacing w:before="0" w:after="200" w:line="240"/>
        <w:ind w:right="0" w:left="0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FFFF00" w:val="clear"/>
        </w:rPr>
        <w:t xml:space="preserve">Бюджетный процесс- ежегодное формирование и исполнение бюджета</w:t>
      </w: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00FFFF" w:val="clear"/>
        </w:rPr>
      </w:pPr>
      <w:r>
        <w:object w:dxaOrig="11826" w:dyaOrig="6048">
          <v:rect xmlns:o="urn:schemas-microsoft-com:office:office" xmlns:v="urn:schemas-microsoft-com:vml" id="rectole0000000000" style="width:591.300000pt;height:302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00FFFF" w:val="clear"/>
        </w:rPr>
        <w:t xml:space="preserve">Что такое бюджет?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Бюджет – это план доходов и расходов на определенный период.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Бюджет Раевского муниципального образования  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тыс.руб.</w:t>
      </w:r>
    </w:p>
    <w:tbl>
      <w:tblPr/>
      <w:tblGrid>
        <w:gridCol w:w="4361"/>
        <w:gridCol w:w="1843"/>
        <w:gridCol w:w="1701"/>
        <w:gridCol w:w="1634"/>
      </w:tblGrid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Показатели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Доходы, в том числе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2128,9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2193,9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1205,4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Налоговые, неналоговые доходы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1690,7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2091,7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1097,9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Безвозмездные поступления 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438,2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102,2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107,5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Расходы, в том числе 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2194,5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2308,4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1314,4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Общегосударственные вопросы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1325,3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1448,9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772,7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ЖКХ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332,2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326,6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150,0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экономика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388,7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405,6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278,6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оборона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56,8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62,0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65,0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Другие расходы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91,5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65,3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48,1</w:t>
            </w:r>
          </w:p>
        </w:tc>
      </w:tr>
      <w:tr>
        <w:trPr>
          <w:trHeight w:val="629" w:hRule="auto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Баланс (доходы-расходы)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Дефицит или профицит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-65,6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-114,5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-109,0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00FFFF" w:val="clear"/>
        </w:rPr>
        <w:t xml:space="preserve">Зачем нужны бюджеты?</w:t>
      </w: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Ос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FFFF00" w:val="clear"/>
        </w:rPr>
        <w:t xml:space="preserve">н</w:t>
      </w:r>
      <w:r>
        <w:rPr>
          <w:rFonts w:ascii="Times New Roman" w:hAnsi="Times New Roman" w:cs="Times New Roman" w:eastAsia="Times New Roman"/>
          <w:b/>
          <w:color w:val="404040"/>
          <w:spacing w:val="-9"/>
          <w:position w:val="-1"/>
          <w:sz w:val="32"/>
          <w:shd w:fill="FFFF00" w:val="clear"/>
        </w:rPr>
        <w:t xml:space="preserve">о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FFFF00" w:val="clear"/>
        </w:rPr>
        <w:t xml:space="preserve">н</w:t>
      </w:r>
      <w:r>
        <w:rPr>
          <w:rFonts w:ascii="Times New Roman" w:hAnsi="Times New Roman" w:cs="Times New Roman" w:eastAsia="Times New Roman"/>
          <w:b/>
          <w:color w:val="404040"/>
          <w:spacing w:val="-1"/>
          <w:position w:val="-1"/>
          <w:sz w:val="32"/>
          <w:shd w:fill="FFFF00" w:val="clear"/>
        </w:rPr>
        <w:t xml:space="preserve">ы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е</w:t>
      </w:r>
      <w:r>
        <w:rPr>
          <w:rFonts w:ascii="Times New Roman" w:hAnsi="Times New Roman" w:cs="Times New Roman" w:eastAsia="Times New Roman"/>
          <w:b/>
          <w:color w:val="404040"/>
          <w:spacing w:val="-7"/>
          <w:position w:val="-1"/>
          <w:sz w:val="32"/>
          <w:shd w:fill="FFFF00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404040"/>
          <w:spacing w:val="-4"/>
          <w:position w:val="-1"/>
          <w:sz w:val="32"/>
          <w:shd w:fill="FFFF00" w:val="clear"/>
        </w:rPr>
        <w:t xml:space="preserve">х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ар</w:t>
      </w:r>
      <w:r>
        <w:rPr>
          <w:rFonts w:ascii="Times New Roman" w:hAnsi="Times New Roman" w:cs="Times New Roman" w:eastAsia="Times New Roman"/>
          <w:b/>
          <w:color w:val="404040"/>
          <w:spacing w:val="2"/>
          <w:position w:val="-1"/>
          <w:sz w:val="32"/>
          <w:shd w:fill="FFFF00" w:val="clear"/>
        </w:rPr>
        <w:t xml:space="preserve">а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404040"/>
          <w:spacing w:val="-3"/>
          <w:position w:val="-1"/>
          <w:sz w:val="32"/>
          <w:shd w:fill="FFFF00" w:val="clear"/>
        </w:rPr>
        <w:t xml:space="preserve">т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ер</w:t>
      </w:r>
      <w:r>
        <w:rPr>
          <w:rFonts w:ascii="Times New Roman" w:hAnsi="Times New Roman" w:cs="Times New Roman" w:eastAsia="Times New Roman"/>
          <w:b/>
          <w:color w:val="404040"/>
          <w:spacing w:val="-1"/>
          <w:position w:val="-1"/>
          <w:sz w:val="32"/>
          <w:shd w:fill="FFFF00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с</w:t>
      </w:r>
      <w:r>
        <w:rPr>
          <w:rFonts w:ascii="Times New Roman" w:hAnsi="Times New Roman" w:cs="Times New Roman" w:eastAsia="Times New Roman"/>
          <w:b/>
          <w:color w:val="404040"/>
          <w:spacing w:val="-3"/>
          <w:position w:val="-1"/>
          <w:sz w:val="32"/>
          <w:shd w:fill="FFFF00" w:val="clear"/>
        </w:rPr>
        <w:t xml:space="preserve">т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FFFF00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FFFF00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б</w:t>
      </w:r>
      <w:r>
        <w:rPr>
          <w:rFonts w:ascii="Times New Roman" w:hAnsi="Times New Roman" w:cs="Times New Roman" w:eastAsia="Times New Roman"/>
          <w:b/>
          <w:color w:val="404040"/>
          <w:spacing w:val="-22"/>
          <w:position w:val="-1"/>
          <w:sz w:val="32"/>
          <w:shd w:fill="FFFF00" w:val="clear"/>
        </w:rPr>
        <w:t xml:space="preserve">ю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FFFF00" w:val="clear"/>
        </w:rPr>
        <w:t xml:space="preserve">д</w:t>
      </w:r>
      <w:r>
        <w:rPr>
          <w:rFonts w:ascii="Times New Roman" w:hAnsi="Times New Roman" w:cs="Times New Roman" w:eastAsia="Times New Roman"/>
          <w:b/>
          <w:color w:val="404040"/>
          <w:spacing w:val="-5"/>
          <w:position w:val="-1"/>
          <w:sz w:val="32"/>
          <w:shd w:fill="FFFF00" w:val="clear"/>
        </w:rPr>
        <w:t xml:space="preserve">ж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FFFF00" w:val="clear"/>
        </w:rPr>
        <w:t xml:space="preserve">е</w:t>
      </w:r>
      <w:r>
        <w:rPr>
          <w:rFonts w:ascii="Times New Roman" w:hAnsi="Times New Roman" w:cs="Times New Roman" w:eastAsia="Times New Roman"/>
          <w:b/>
          <w:color w:val="404040"/>
          <w:spacing w:val="-8"/>
          <w:position w:val="-1"/>
          <w:sz w:val="32"/>
          <w:shd w:fill="FFFF00" w:val="clear"/>
        </w:rPr>
        <w:t xml:space="preserve">та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1808" w:dyaOrig="7884">
          <v:rect xmlns:o="urn:schemas-microsoft-com:office:office" xmlns:v="urn:schemas-microsoft-com:vml" id="rectole0000000001" style="width:590.400000pt;height:394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Дефицит и профицит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1213" w:dyaOrig="6570">
          <v:rect xmlns:o="urn:schemas-microsoft-com:office:office" xmlns:v="urn:schemas-microsoft-com:vml" id="rectole0000000002" style="width:560.650000pt;height:328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Доходы бюджета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11213" w:dyaOrig="5328">
          <v:rect xmlns:o="urn:schemas-microsoft-com:office:office" xmlns:v="urn:schemas-microsoft-com:vml" id="rectole0000000003" style="width:560.650000pt;height:266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Межбюджетные трансферты-основной вид безвозмездных перечислений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11898" w:dyaOrig="7866">
          <v:rect xmlns:o="urn:schemas-microsoft-com:office:office" xmlns:v="urn:schemas-microsoft-com:vml" id="rectole0000000004" style="width:594.900000pt;height:393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Федеральные, региональные и местные налоги.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</w:pPr>
      <w:r>
        <w:object w:dxaOrig="11808" w:dyaOrig="8333">
          <v:rect xmlns:o="urn:schemas-microsoft-com:office:office" xmlns:v="urn:schemas-microsoft-com:vml" id="rectole0000000005" style="width:590.400000pt;height:416.6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Мы все - налогоплательщики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</w:pPr>
      <w:r>
        <w:object w:dxaOrig="11898" w:dyaOrig="8261">
          <v:rect xmlns:o="urn:schemas-microsoft-com:office:office" xmlns:v="urn:schemas-microsoft-com:vml" id="rectole0000000006" style="width:594.900000pt;height:413.0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Налоги, зачисляемые в бюджет муниципального образования в 2015году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</w:pPr>
      <w:r>
        <w:object w:dxaOrig="11808" w:dyaOrig="7596">
          <v:rect xmlns:o="urn:schemas-microsoft-com:office:office" xmlns:v="urn:schemas-microsoft-com:vml" id="rectole0000000007" style="width:590.400000pt;height:379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Структура доходов бюджета Раевского муниципального образования </w:t>
      </w:r>
    </w:p>
    <w:p>
      <w:pPr>
        <w:tabs>
          <w:tab w:val="left" w:pos="4020" w:leader="none"/>
          <w:tab w:val="center" w:pos="4677" w:leader="none"/>
        </w:tabs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тыс.руб.)</w:t>
      </w:r>
    </w:p>
    <w:tbl>
      <w:tblPr>
        <w:tblInd w:w="93" w:type="dxa"/>
      </w:tblPr>
      <w:tblGrid>
        <w:gridCol w:w="5267"/>
        <w:gridCol w:w="1329"/>
        <w:gridCol w:w="1335"/>
        <w:gridCol w:w="1440"/>
      </w:tblGrid>
      <w:tr>
        <w:trPr>
          <w:trHeight w:val="322" w:hRule="auto"/>
          <w:jc w:val="left"/>
        </w:trPr>
        <w:tc>
          <w:tcPr>
            <w:tcW w:w="526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Наименование доходов</w:t>
            </w:r>
          </w:p>
        </w:tc>
        <w:tc>
          <w:tcPr>
            <w:tcW w:w="13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Фактиче-ское исполне-ние за 2013 год</w:t>
            </w:r>
          </w:p>
        </w:tc>
        <w:tc>
          <w:tcPr>
            <w:tcW w:w="133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Уточнен-ный план за 2014 год</w:t>
            </w:r>
          </w:p>
        </w:tc>
        <w:tc>
          <w:tcPr>
            <w:tcW w:w="144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Бюджет на 2015 год</w:t>
            </w:r>
          </w:p>
        </w:tc>
      </w:tr>
      <w:tr>
        <w:trPr>
          <w:trHeight w:val="322" w:hRule="auto"/>
          <w:jc w:val="left"/>
        </w:trPr>
        <w:tc>
          <w:tcPr>
            <w:tcW w:w="526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Налоговые доходы всего: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1610,4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2029,3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1097,9</w:t>
            </w: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 том числе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налог на доходы физ.лиц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864,1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949,2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219,7</w:t>
            </w: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акцизы на нефтепродукты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394,6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278,6</w:t>
            </w: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единый сельскохозяйственный  налог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259,3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10,0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32,2</w:t>
            </w: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налог на имущество физ.лиц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38,3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54,5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61,4</w:t>
            </w: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земельный налог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448,7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620,0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505,0</w:t>
            </w: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госпошлина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1,0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1,0</w:t>
            </w: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Неналоговые доходы всего: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80,3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62,4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 том числе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арендная плата за земли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41,8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51,4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доходы от продажи материальных и нематериальных активов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32,5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5,0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штрафы, санкции и возмещение ущерба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6,0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6,0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Безвозмездные поступления всего: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438,2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102,2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107,5</w:t>
            </w:r>
          </w:p>
        </w:tc>
      </w:tr>
      <w:tr>
        <w:trPr>
          <w:trHeight w:val="322" w:hRule="auto"/>
          <w:jc w:val="left"/>
        </w:trPr>
        <w:tc>
          <w:tcPr>
            <w:tcW w:w="52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 том числе</w:t>
            </w:r>
          </w:p>
        </w:tc>
        <w:tc>
          <w:tcPr>
            <w:tcW w:w="1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2" w:hRule="auto"/>
          <w:jc w:val="left"/>
        </w:trPr>
        <w:tc>
          <w:tcPr>
            <w:tcW w:w="526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дотации бюджетам субъектов Российской Федерации и муниципальных образований</w:t>
            </w:r>
          </w:p>
        </w:tc>
        <w:tc>
          <w:tcPr>
            <w:tcW w:w="13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38,4</w:t>
            </w:r>
          </w:p>
        </w:tc>
        <w:tc>
          <w:tcPr>
            <w:tcW w:w="133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40,2</w:t>
            </w:r>
          </w:p>
        </w:tc>
        <w:tc>
          <w:tcPr>
            <w:tcW w:w="144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42,5</w:t>
            </w:r>
          </w:p>
        </w:tc>
      </w:tr>
      <w:tr>
        <w:trPr>
          <w:trHeight w:val="322" w:hRule="auto"/>
          <w:jc w:val="left"/>
        </w:trPr>
        <w:tc>
          <w:tcPr>
            <w:tcW w:w="526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2" w:hRule="auto"/>
          <w:jc w:val="left"/>
        </w:trPr>
        <w:tc>
          <w:tcPr>
            <w:tcW w:w="526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318,0</w:t>
            </w:r>
          </w:p>
        </w:tc>
        <w:tc>
          <w:tcPr>
            <w:tcW w:w="133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2" w:hRule="auto"/>
          <w:jc w:val="left"/>
        </w:trPr>
        <w:tc>
          <w:tcPr>
            <w:tcW w:w="526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2" w:hRule="auto"/>
          <w:jc w:val="left"/>
        </w:trPr>
        <w:tc>
          <w:tcPr>
            <w:tcW w:w="526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субвенции бюджетам субъектов Российской Федерации и муниципальных образований.</w:t>
            </w:r>
          </w:p>
        </w:tc>
        <w:tc>
          <w:tcPr>
            <w:tcW w:w="13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56,8</w:t>
            </w:r>
          </w:p>
        </w:tc>
        <w:tc>
          <w:tcPr>
            <w:tcW w:w="133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62,0</w:t>
            </w:r>
          </w:p>
        </w:tc>
        <w:tc>
          <w:tcPr>
            <w:tcW w:w="144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65,0</w:t>
            </w:r>
          </w:p>
        </w:tc>
      </w:tr>
      <w:tr>
        <w:trPr>
          <w:trHeight w:val="322" w:hRule="auto"/>
          <w:jc w:val="left"/>
        </w:trPr>
        <w:tc>
          <w:tcPr>
            <w:tcW w:w="5267" w:type="dxa"/>
            <w:vMerge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29" w:type="dxa"/>
            <w:vMerge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35" w:type="dxa"/>
            <w:vMerge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vMerge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прочие безвозмездные поступления   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25,0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267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Итого доходов:</w:t>
            </w:r>
          </w:p>
        </w:tc>
        <w:tc>
          <w:tcPr>
            <w:tcW w:w="1329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2128,9</w:t>
            </w:r>
          </w:p>
        </w:tc>
        <w:tc>
          <w:tcPr>
            <w:tcW w:w="1335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2193,9</w:t>
            </w:r>
          </w:p>
        </w:tc>
        <w:tc>
          <w:tcPr>
            <w:tcW w:w="144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1205,4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Структура доходов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2013 году доходы составили – 2128,9 тыс.руб.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 доходов в 2014году составил – 2193,9 тыс.руб.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Доходы бюджета в 2015году составят – 1205,4 тыс.руб.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расчете прогнозируемого объема доходов  бюджета учитывались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изменения налогового и бюджетного законодательства Российской Федерации и Саратовской области, вступающие в действие с 1 января 2015 года.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Принятый Федеральный закон №383 от 29.11.14г. предусматривает с 01.01.2015 года уменьшение норматива отчисления в бюджеты поселений:</w:t>
      </w:r>
    </w:p>
    <w:p>
      <w:pPr>
        <w:spacing w:before="0" w:after="0" w:line="276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НДФЛ на  8 %</w:t>
      </w:r>
    </w:p>
    <w:p>
      <w:pPr>
        <w:spacing w:before="0" w:after="0" w:line="276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единого сельскохозяйственного налога на 20%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арендной платы за земельные участки государственная собственность на которые не разграничена и которые расположены в границах поселений  на 50%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продажи земельных участков на территориях сельских поселений, государственная собственность на которые не разграничена на 50%.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Основными бюджетообразующими доходами бюджета муниципального образования являются земельный налог, акцизы на нефтепродукты и налог на доходы физических лиц.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РАСХОДЫ.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  <w:t xml:space="preserve">Расходы бюджета – выплачиваемые из бюджета денежные средства.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В каких единицах измеряются параметры бюджетов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11808" w:dyaOrig="4320">
          <v:rect xmlns:o="urn:schemas-microsoft-com:office:office" xmlns:v="urn:schemas-microsoft-com:vml" id="rectole0000000008" style="width:590.400000pt;height:216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Расходы по основным функциям муниципального образования.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11898" w:dyaOrig="4212">
          <v:rect xmlns:o="urn:schemas-microsoft-com:office:office" xmlns:v="urn:schemas-microsoft-com:vml" id="rectole0000000009" style="width:594.900000pt;height:210.6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Структура расходов бюджета Раевского муниципального образования по разделам в 2013-2015 годах.</w:t>
        <w:tab/>
        <w:tab/>
        <w:tab/>
        <w:tab/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ab/>
        <w:tab/>
        <w:tab/>
        <w:t xml:space="preserve">%</w:t>
      </w:r>
    </w:p>
    <w:tbl>
      <w:tblPr/>
      <w:tblGrid>
        <w:gridCol w:w="1014"/>
        <w:gridCol w:w="5662"/>
        <w:gridCol w:w="1018"/>
        <w:gridCol w:w="891"/>
        <w:gridCol w:w="891"/>
      </w:tblGrid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Раздел</w:t>
            </w:r>
          </w:p>
        </w:tc>
        <w:tc>
          <w:tcPr>
            <w:tcW w:w="5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Всего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</w:p>
        </w:tc>
        <w:tc>
          <w:tcPr>
            <w:tcW w:w="5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Общегосударственные вопросы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60,4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62,8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58,8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</w:t>
            </w:r>
          </w:p>
        </w:tc>
        <w:tc>
          <w:tcPr>
            <w:tcW w:w="5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оборона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2,6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2,7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4,9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</w:t>
            </w:r>
          </w:p>
        </w:tc>
        <w:tc>
          <w:tcPr>
            <w:tcW w:w="5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экономика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17,7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17,6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21,2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</w:t>
            </w:r>
          </w:p>
        </w:tc>
        <w:tc>
          <w:tcPr>
            <w:tcW w:w="5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Жилищно-коммунальное хозяйство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15,1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14,1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11,4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</w:t>
            </w:r>
          </w:p>
        </w:tc>
        <w:tc>
          <w:tcPr>
            <w:tcW w:w="5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Культура, кинематография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2,2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0,8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5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Социальная политика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2,0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2,0</w:t>
            </w:r>
          </w:p>
        </w:tc>
        <w:tc>
          <w:tcPr>
            <w:tcW w:w="8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3,7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008000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008000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008000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008000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008000" w:val="clear"/>
        </w:rPr>
        <w:t xml:space="preserve">Структура расходов.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Расходы бюджета Раевского муниципального образования по основным разделам на душу населения</w:t>
        <w:tab/>
        <w:tab/>
        <w:tab/>
        <w:tab/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руб.</w:t>
      </w:r>
    </w:p>
    <w:tbl>
      <w:tblPr/>
      <w:tblGrid>
        <w:gridCol w:w="1014"/>
        <w:gridCol w:w="6165"/>
        <w:gridCol w:w="986"/>
        <w:gridCol w:w="986"/>
        <w:gridCol w:w="986"/>
      </w:tblGrid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Раздел</w:t>
            </w:r>
          </w:p>
        </w:tc>
        <w:tc>
          <w:tcPr>
            <w:tcW w:w="61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Показатель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</w:t>
            </w:r>
          </w:p>
        </w:tc>
        <w:tc>
          <w:tcPr>
            <w:tcW w:w="61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Жилищно-коммунальное хозяйство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295,5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294,8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135,5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</w:t>
            </w:r>
          </w:p>
        </w:tc>
        <w:tc>
          <w:tcPr>
            <w:tcW w:w="61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Культура, кинематография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43,4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16,9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61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Социальная политика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38,0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42,0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43,3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</w:p>
        </w:tc>
        <w:tc>
          <w:tcPr>
            <w:tcW w:w="61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 работников органов местного самоуправления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995,8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1091,2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512,3</w:t>
            </w:r>
          </w:p>
        </w:tc>
      </w:tr>
      <w:tr>
        <w:trPr>
          <w:trHeight w:val="1" w:hRule="atLeast"/>
          <w:jc w:val="left"/>
        </w:trPr>
        <w:tc>
          <w:tcPr>
            <w:tcW w:w="10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 расходы местного бюджета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1952,4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2083,4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1186,3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708"/>
        <w:jc w:val="righ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тыс.руб</w:t>
      </w:r>
    </w:p>
    <w:tbl>
      <w:tblPr/>
      <w:tblGrid>
        <w:gridCol w:w="4503"/>
        <w:gridCol w:w="1559"/>
        <w:gridCol w:w="1417"/>
        <w:gridCol w:w="1276"/>
        <w:gridCol w:w="1412"/>
      </w:tblGrid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Расходы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2013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год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2014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год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2015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год</w:t>
            </w:r>
          </w:p>
        </w:tc>
      </w:tr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Общегосударственные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вопросы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073" w:dyaOrig="789">
                <v:rect xmlns:o="urn:schemas-microsoft-com:office:office" xmlns:v="urn:schemas-microsoft-com:vml" id="rectole0000000010" style="width:53.650000pt;height:39.4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Paint.Picture" DrawAspect="Content" ObjectID="0000000010" ShapeID="rectole0000000010" r:id="docRId20"/>
              </w:objec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1325,3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1448,9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772,7</w:t>
            </w:r>
          </w:p>
        </w:tc>
      </w:tr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Национальная оборона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031" w:dyaOrig="829">
                <v:rect xmlns:o="urn:schemas-microsoft-com:office:office" xmlns:v="urn:schemas-microsoft-com:vml" id="rectole0000000011" style="width:51.550000pt;height:41.4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Paint.Picture" DrawAspect="Content" ObjectID="0000000011" ShapeID="rectole0000000011" r:id="docRId22"/>
              </w:objec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56,8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62,0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65,0</w:t>
            </w:r>
          </w:p>
        </w:tc>
      </w:tr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Национальная экономика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972" w:dyaOrig="870">
                <v:rect xmlns:o="urn:schemas-microsoft-com:office:office" xmlns:v="urn:schemas-microsoft-com:vml" id="rectole0000000012" style="width:48.600000pt;height:43.50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Paint.Picture" DrawAspect="Content" ObjectID="0000000012" ShapeID="rectole0000000012" r:id="docRId24"/>
              </w:objec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388,7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405,6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278,6</w:t>
            </w:r>
          </w:p>
        </w:tc>
      </w:tr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Жилищно-коммунальное хозяйство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911" w:dyaOrig="849">
                <v:rect xmlns:o="urn:schemas-microsoft-com:office:office" xmlns:v="urn:schemas-microsoft-com:vml" id="rectole0000000013" style="width:45.550000pt;height:42.45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Paint.Picture" DrawAspect="Content" ObjectID="0000000013" ShapeID="rectole0000000013" r:id="docRId26"/>
              </w:objec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332,2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326,6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150,0</w:t>
            </w:r>
          </w:p>
        </w:tc>
      </w:tr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Культура, кинематография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930" w:dyaOrig="748">
                <v:rect xmlns:o="urn:schemas-microsoft-com:office:office" xmlns:v="urn:schemas-microsoft-com:vml" id="rectole0000000014" style="width:46.500000pt;height:37.40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Paint.Picture" DrawAspect="Content" ObjectID="0000000014" ShapeID="rectole0000000014" r:id="docRId28"/>
              </w:objec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48,8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18,8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Социальная политика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911" w:dyaOrig="748">
                <v:rect xmlns:o="urn:schemas-microsoft-com:office:office" xmlns:v="urn:schemas-microsoft-com:vml" id="rectole0000000015" style="width:45.550000pt;height:37.400000pt" o:preferrelative="t" o:ole="">
                  <o:lock v:ext="edit"/>
                  <v:imagedata xmlns:r="http://schemas.openxmlformats.org/officeDocument/2006/relationships" r:id="docRId31" o:title=""/>
                </v:rect>
                <o:OLEObject xmlns:r="http://schemas.openxmlformats.org/officeDocument/2006/relationships" xmlns:o="urn:schemas-microsoft-com:office:office" Type="Embed" ProgID="Paint.Picture" DrawAspect="Content" ObjectID="0000000015" ShapeID="rectole0000000015" r:id="docRId30"/>
              </w:objec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42,7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46,5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48,0</w:t>
            </w:r>
          </w:p>
        </w:tc>
      </w:tr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911" w:dyaOrig="729">
                <v:rect xmlns:o="urn:schemas-microsoft-com:office:office" xmlns:v="urn:schemas-microsoft-com:vml" id="rectole0000000016" style="width:45.550000pt;height:36.450000pt" o:preferrelative="t" o:ole="">
                  <o:lock v:ext="edit"/>
                  <v:imagedata xmlns:r="http://schemas.openxmlformats.org/officeDocument/2006/relationships" r:id="docRId33" o:title=""/>
                </v:rect>
                <o:OLEObject xmlns:r="http://schemas.openxmlformats.org/officeDocument/2006/relationships" xmlns:o="urn:schemas-microsoft-com:office:office" Type="Embed" ProgID="Paint.Picture" DrawAspect="Content" ObjectID="0000000016" ShapeID="rectole0000000016" r:id="docRId32"/>
              </w:objec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0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0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0,1</w:t>
            </w:r>
          </w:p>
        </w:tc>
      </w:tr>
      <w:tr>
        <w:trPr>
          <w:trHeight w:val="1" w:hRule="atLeast"/>
          <w:jc w:val="left"/>
        </w:trPr>
        <w:tc>
          <w:tcPr>
            <w:tcW w:w="4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ИТОГО расходов: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2194,5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2308,4</w:t>
            </w:r>
          </w:p>
        </w:tc>
        <w:tc>
          <w:tcPr>
            <w:tcW w:w="14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1314,4</w:t>
            </w:r>
          </w:p>
        </w:tc>
      </w:tr>
    </w:tbl>
    <w:p>
      <w:pPr>
        <w:spacing w:before="0" w:after="200" w:line="240"/>
        <w:ind w:right="0" w:left="0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numbering.xml" Id="docRId34" Type="http://schemas.openxmlformats.org/officeDocument/2006/relationships/numbering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styles.xml" Id="docRId35" Type="http://schemas.openxmlformats.org/officeDocument/2006/relationships/styles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/Relationships>
</file>