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4"/>
          <w:szCs w:val="24"/>
        </w:rPr>
        <w:t xml:space="preserve">ИЗВЕЩЕНИЕ №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1</w:t>
      </w:r>
    </w:p>
    <w:p>
      <w:pPr>
        <w:pStyle w:val="Normal"/>
        <w:ind w:firstLine="567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val="clear" w:fill="FFFFFF"/>
        <w:spacing w:lineRule="auto" w:line="240" w:before="0" w:after="0"/>
        <w:ind w:left="20" w:hanging="0"/>
        <w:rPr/>
      </w:pPr>
      <w:r>
        <w:rPr>
          <w:b/>
          <w:sz w:val="24"/>
          <w:szCs w:val="24"/>
        </w:rPr>
        <w:t>на право заключения договора аренды земельн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en-US" w:bidi="ar-SA"/>
        </w:rPr>
        <w:t>ого</w:t>
      </w:r>
      <w:r>
        <w:rPr>
          <w:b/>
          <w:sz w:val="24"/>
          <w:szCs w:val="24"/>
        </w:rPr>
        <w:t xml:space="preserve"> участк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en-US" w:bidi="ar-SA"/>
        </w:rPr>
        <w:t>а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Продавец (организатор аукциона) - администрация Ивантеевского муниципального района Саратовской области.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</w:t>
      </w:r>
      <w:r>
        <w:rPr>
          <w:color w:val="C9211E"/>
          <w:sz w:val="24"/>
          <w:szCs w:val="24"/>
        </w:rPr>
        <w:t xml:space="preserve"> </w:t>
      </w:r>
      <w:r>
        <w:rPr>
          <w:rFonts w:eastAsia="Times New Roman" w:cs="Times New Roman"/>
          <w:color w:val="1C1C1C"/>
          <w:kern w:val="0"/>
          <w:sz w:val="24"/>
          <w:szCs w:val="24"/>
          <w:lang w:val="ru-RU" w:eastAsia="ru-RU" w:bidi="ar-SA"/>
        </w:rPr>
        <w:t>12.10.2021года № 454.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1C1C1C"/>
          <w:kern w:val="0"/>
          <w:sz w:val="24"/>
          <w:szCs w:val="24"/>
          <w:lang w:val="ru-RU" w:eastAsia="ru-RU" w:bidi="ar-SA"/>
        </w:rPr>
        <w:t>14 февраля</w:t>
      </w:r>
      <w:r>
        <w:rPr>
          <w:b/>
          <w:bCs/>
          <w:color w:val="1C1C1C"/>
          <w:sz w:val="24"/>
          <w:szCs w:val="24"/>
        </w:rPr>
        <w:t xml:space="preserve"> </w:t>
      </w:r>
      <w:r>
        <w:rPr>
          <w:b/>
          <w:color w:val="1C1C1C"/>
          <w:sz w:val="24"/>
          <w:szCs w:val="24"/>
        </w:rPr>
        <w:t>202</w:t>
      </w:r>
      <w:r>
        <w:rPr>
          <w:rFonts w:eastAsia="Times New Roman" w:cs="Times New Roman"/>
          <w:b/>
          <w:color w:val="1C1C1C"/>
          <w:kern w:val="0"/>
          <w:sz w:val="24"/>
          <w:szCs w:val="24"/>
          <w:lang w:val="ru-RU" w:eastAsia="ru-RU" w:bidi="ar-SA"/>
        </w:rPr>
        <w:t>2</w:t>
      </w:r>
      <w:r>
        <w:rPr>
          <w:b/>
          <w:color w:val="1C1C1C"/>
          <w:sz w:val="24"/>
          <w:szCs w:val="24"/>
        </w:rPr>
        <w:t xml:space="preserve">г. </w:t>
      </w:r>
      <w:r>
        <w:rPr>
          <w:b/>
          <w:sz w:val="24"/>
          <w:szCs w:val="24"/>
        </w:rPr>
        <w:t>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подаются по форме, приведенной в настоящем извещении (приложение №1), принимаются </w:t>
      </w:r>
      <w:r>
        <w:rPr>
          <w:color w:val="111111"/>
          <w:sz w:val="24"/>
          <w:szCs w:val="24"/>
        </w:rPr>
        <w:t xml:space="preserve">с </w:t>
      </w:r>
      <w:r>
        <w:rPr>
          <w:rFonts w:eastAsia="Times New Roman" w:cs="Times New Roman"/>
          <w:b/>
          <w:bCs/>
          <w:color w:val="1C1C1C"/>
          <w:kern w:val="0"/>
          <w:sz w:val="24"/>
          <w:szCs w:val="24"/>
          <w:lang w:val="ru-RU" w:eastAsia="ru-RU" w:bidi="ar-SA"/>
        </w:rPr>
        <w:t xml:space="preserve">13 января </w:t>
      </w:r>
      <w:r>
        <w:rPr>
          <w:rFonts w:eastAsia="Times New Roman" w:cs="Times New Roman"/>
          <w:b/>
          <w:bCs/>
          <w:color w:val="1C1C1C"/>
          <w:sz w:val="24"/>
          <w:szCs w:val="24"/>
          <w:lang w:eastAsia="ru-RU"/>
        </w:rPr>
        <w:t>2022</w:t>
      </w:r>
      <w:r>
        <w:rPr>
          <w:b/>
          <w:bCs/>
          <w:color w:val="1C1C1C"/>
          <w:sz w:val="24"/>
          <w:szCs w:val="24"/>
        </w:rPr>
        <w:t>г.</w:t>
      </w:r>
      <w:r>
        <w:rPr>
          <w:b/>
          <w:bCs/>
          <w:color w:val="111111"/>
          <w:sz w:val="24"/>
          <w:szCs w:val="24"/>
        </w:rPr>
        <w:t xml:space="preserve"> </w:t>
      </w:r>
      <w:r>
        <w:rPr>
          <w:sz w:val="24"/>
          <w:szCs w:val="24"/>
        </w:rPr>
        <w:t>в рабочие дни с 8.00 до 12.00 и с 13.00 до 16.00 часов (время местное) по адресу: 413950, Саратовская область, Ивантеевский район, с.Ивантеевка, ул. Советская, д.14, Администрация Ивантеевского муниципального района Саратовской области, телефон (84579) 5-16-55.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для участия в аукционе: </w:t>
      </w:r>
      <w:r>
        <w:rPr>
          <w:rFonts w:eastAsia="Times New Roman" w:cs="Times New Roman"/>
          <w:b/>
          <w:bCs/>
          <w:color w:val="1C1C1C"/>
          <w:kern w:val="0"/>
          <w:sz w:val="24"/>
          <w:szCs w:val="24"/>
          <w:lang w:val="ru-RU" w:eastAsia="ru-RU" w:bidi="ar-SA"/>
        </w:rPr>
        <w:t>8 февраля</w:t>
      </w:r>
      <w:r>
        <w:rPr>
          <w:rFonts w:eastAsia="Times New Roman" w:cs="Times New Roman"/>
          <w:b/>
          <w:bCs/>
          <w:color w:val="1C1C1C"/>
          <w:sz w:val="24"/>
          <w:szCs w:val="24"/>
          <w:lang w:eastAsia="ru-RU"/>
        </w:rPr>
        <w:t xml:space="preserve"> 202</w:t>
      </w:r>
      <w:r>
        <w:rPr>
          <w:rFonts w:eastAsia="Times New Roman" w:cs="Times New Roman"/>
          <w:b/>
          <w:bCs/>
          <w:color w:val="1C1C1C"/>
          <w:kern w:val="0"/>
          <w:sz w:val="24"/>
          <w:szCs w:val="24"/>
          <w:lang w:val="ru-RU" w:eastAsia="ru-RU" w:bidi="ar-SA"/>
        </w:rPr>
        <w:t>2</w:t>
      </w:r>
      <w:r>
        <w:rPr>
          <w:b/>
          <w:bCs/>
          <w:color w:val="1C1C1C"/>
          <w:sz w:val="24"/>
          <w:szCs w:val="24"/>
        </w:rPr>
        <w:t xml:space="preserve">г, </w:t>
      </w:r>
      <w:r>
        <w:rPr>
          <w:b/>
          <w:bCs/>
          <w:sz w:val="24"/>
          <w:szCs w:val="24"/>
        </w:rPr>
        <w:t>12.00 часов (время местное)</w:t>
      </w:r>
      <w:r>
        <w:rPr>
          <w:bCs/>
          <w:sz w:val="24"/>
          <w:szCs w:val="24"/>
        </w:rPr>
        <w:t>.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</w:t>
      </w:r>
      <w:r>
        <w:rPr>
          <w:rFonts w:eastAsia="Times New Roman" w:cs="Times New Roman"/>
          <w:b/>
          <w:color w:val="1C1C1C"/>
          <w:kern w:val="0"/>
          <w:sz w:val="24"/>
          <w:szCs w:val="24"/>
          <w:highlight w:val="white"/>
          <w:lang w:val="ru-RU" w:eastAsia="ru-RU" w:bidi="ar-SA"/>
        </w:rPr>
        <w:t>8 февраля 2022</w:t>
      </w:r>
      <w:r>
        <w:rPr>
          <w:b/>
          <w:color w:val="1C1C1C"/>
          <w:sz w:val="24"/>
          <w:szCs w:val="24"/>
        </w:rPr>
        <w:t xml:space="preserve"> г. в 1</w:t>
      </w:r>
      <w:r>
        <w:rPr>
          <w:rFonts w:eastAsia="Times New Roman" w:cs="Times New Roman"/>
          <w:b/>
          <w:color w:val="1C1C1C"/>
          <w:kern w:val="0"/>
          <w:sz w:val="24"/>
          <w:szCs w:val="24"/>
          <w:lang w:val="ru-RU" w:eastAsia="ru-RU" w:bidi="ar-SA"/>
        </w:rPr>
        <w:t>5</w:t>
      </w:r>
      <w:r>
        <w:rPr>
          <w:b/>
          <w:color w:val="1C1C1C"/>
          <w:sz w:val="24"/>
          <w:szCs w:val="24"/>
        </w:rPr>
        <w:t>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с.Ивантеевка, ул. Советская, д.14,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>Регистрация участников проводится</w:t>
      </w:r>
      <w:r>
        <w:rPr>
          <w:b/>
          <w:color w:val="1C1C1C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1C1C1C"/>
          <w:kern w:val="0"/>
          <w:sz w:val="24"/>
          <w:szCs w:val="24"/>
          <w:lang w:val="ru-RU" w:eastAsia="ru-RU" w:bidi="ar-SA"/>
        </w:rPr>
        <w:t>14 февраля</w:t>
      </w:r>
      <w:r>
        <w:rPr>
          <w:rFonts w:eastAsia="Times New Roman" w:cs="Times New Roman"/>
          <w:b/>
          <w:color w:val="1C1C1C"/>
          <w:sz w:val="24"/>
          <w:szCs w:val="24"/>
          <w:lang w:eastAsia="ru-RU"/>
        </w:rPr>
        <w:t xml:space="preserve"> 202</w:t>
      </w:r>
      <w:r>
        <w:rPr>
          <w:rFonts w:eastAsia="Times New Roman" w:cs="Times New Roman"/>
          <w:b/>
          <w:color w:val="1C1C1C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/>
          <w:b/>
          <w:color w:val="1C1C1C"/>
          <w:sz w:val="24"/>
          <w:szCs w:val="24"/>
          <w:lang w:eastAsia="ru-RU"/>
        </w:rPr>
        <w:t>г.</w:t>
      </w:r>
      <w:r>
        <w:rPr>
          <w:b/>
          <w:bCs/>
          <w:color w:val="1C1C1C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4"/>
        <w:numPr>
          <w:ilvl w:val="0"/>
          <w:numId w:val="1"/>
        </w:numPr>
        <w:rPr/>
      </w:pPr>
      <w:r>
        <w:rPr>
          <w:b/>
          <w:bCs/>
          <w:color w:val="000000"/>
          <w:sz w:val="24"/>
          <w:szCs w:val="24"/>
        </w:rPr>
        <w:t>Сведения о предмете аукциона:</w:t>
      </w:r>
    </w:p>
    <w:p>
      <w:pPr>
        <w:pStyle w:val="Style24"/>
        <w:ind w:hanging="0"/>
        <w:rPr>
          <w:color w:val="C9211E"/>
        </w:rPr>
      </w:pPr>
      <w:r>
        <w:rPr>
          <w:b/>
          <w:bCs/>
          <w:color w:val="000000"/>
          <w:sz w:val="24"/>
          <w:szCs w:val="24"/>
        </w:rPr>
        <w:t xml:space="preserve">Предмет аукциона – </w:t>
      </w:r>
      <w:r>
        <w:rPr>
          <w:bCs/>
          <w:color w:val="000000"/>
          <w:sz w:val="24"/>
          <w:szCs w:val="24"/>
        </w:rPr>
        <w:t>право заключения договора аренды земельного участка:</w:t>
      </w:r>
    </w:p>
    <w:tbl>
      <w:tblPr>
        <w:tblW w:w="10380" w:type="dxa"/>
        <w:jc w:val="left"/>
        <w:tblInd w:w="-288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5"/>
        <w:gridCol w:w="2434"/>
        <w:gridCol w:w="917"/>
        <w:gridCol w:w="1639"/>
        <w:gridCol w:w="1018"/>
        <w:gridCol w:w="1307"/>
        <w:gridCol w:w="1202"/>
        <w:gridCol w:w="1296"/>
      </w:tblGrid>
      <w:tr>
        <w:trPr>
          <w:trHeight w:val="67" w:hRule="atLeast"/>
          <w:cantSplit w:val="true"/>
        </w:trPr>
        <w:tc>
          <w:tcPr>
            <w:tcW w:w="56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t>лота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Местоположение и характеристики объекта аукциона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аренды</w:t>
            </w:r>
          </w:p>
        </w:tc>
        <w:tc>
          <w:tcPr>
            <w:tcW w:w="163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Площадь</w:t>
              <w:br/>
              <w:t>общая (кв. м)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– размер годовой арендной платы (руб.)</w:t>
            </w:r>
          </w:p>
        </w:tc>
        <w:tc>
          <w:tcPr>
            <w:tcW w:w="120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 аукциона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(3%)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задатка 100%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bookmarkStart w:id="0" w:name="__DdeLink__4700_2580340641"/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с.Ивантеевка, ул. Советская, 38/1</w:t>
            </w:r>
            <w:bookmarkEnd w:id="0"/>
            <w:r>
              <w:rPr/>
              <w:t>,с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Объекты гаражного назначения»</w:t>
            </w:r>
            <w:r>
              <w:rPr/>
              <w:t>,  категория земель: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населенных пунктов».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Земельный участок обременен охранной зоной объектов электросетевого хозяйства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5лет</w:t>
            </w:r>
            <w:r>
              <w:rPr>
                <w:bCs/>
              </w:rPr>
              <w:t xml:space="preserve"> </w:t>
            </w: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bCs/>
              </w:rPr>
              <w:t>месяцев</w:t>
            </w:r>
          </w:p>
        </w:tc>
        <w:tc>
          <w:tcPr>
            <w:tcW w:w="16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220437</w:t>
            </w:r>
            <w:r>
              <w:rPr>
                <w:rFonts w:eastAsia="Times New Roman CYR"/>
                <w:bCs/>
              </w:rPr>
              <w:t>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8218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135720,00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сто тридцать пять тысяч семьсот двадцать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  <w:tc>
          <w:tcPr>
            <w:tcW w:w="12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4072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(четыре тысячи семьдесят два) рубля </w:t>
            </w:r>
            <w:r>
              <w:rPr/>
              <w:t>00 копеек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135720,00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сто тридцать пять тысяч семьсот двадцать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</w:tr>
    </w:tbl>
    <w:p>
      <w:pPr>
        <w:pStyle w:val="Normal"/>
        <w:suppressAutoHyphens w:val="true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ЛОТ №1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b/>
          <w:sz w:val="24"/>
          <w:szCs w:val="24"/>
        </w:rPr>
        <w:t xml:space="preserve">1. </w:t>
      </w:r>
      <w:r>
        <w:rPr>
          <w:b/>
          <w:sz w:val="22"/>
          <w:szCs w:val="22"/>
        </w:rPr>
        <w:t>Параметры разрешенного строительства объектов капитального строительства для Лота №</w:t>
      </w: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 xml:space="preserve"> 1 в соответствии с действующими правилами землепользования и застройки  территории Ивантеевского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4"/>
          <w:szCs w:val="24"/>
          <w:lang w:val="ru-RU"/>
        </w:rPr>
        <w:t>И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нформаци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я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b/>
          <w:bCs/>
          <w:sz w:val="24"/>
          <w:szCs w:val="24"/>
        </w:rPr>
        <w:t xml:space="preserve"> 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4"/>
          <w:szCs w:val="24"/>
        </w:rPr>
        <w:t>Электроснабжение возможно от источника питания ВЛ-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0,4</w:t>
      </w:r>
      <w:r>
        <w:rPr>
          <w:sz w:val="24"/>
          <w:szCs w:val="24"/>
        </w:rPr>
        <w:t>квВ КПТ №712, ВЛ-100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6,</w:t>
      </w:r>
      <w:r>
        <w:rPr>
          <w:sz w:val="24"/>
          <w:szCs w:val="24"/>
        </w:rPr>
        <w:t xml:space="preserve"> ПС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35</w:t>
      </w:r>
      <w:r>
        <w:rPr>
          <w:sz w:val="24"/>
          <w:szCs w:val="24"/>
        </w:rPr>
        <w:t>кВ Ивантеевская. Сроки подключения объектов капитального строительства к электрическим сетям (в рамках договора технологического присоединения): При выполнении обязательств, связанных со строительством, со стороны Сетевой организации определяется исходя из конкурентных условий в соответствии с ПРАВИЛАМИ тп П.16 (У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твержденными постановление</w:t>
      </w:r>
      <w:r>
        <w:rPr>
          <w:sz w:val="24"/>
          <w:szCs w:val="24"/>
        </w:rPr>
        <w:t xml:space="preserve"> Правитель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с</w:t>
      </w:r>
      <w:r>
        <w:rPr>
          <w:sz w:val="24"/>
          <w:szCs w:val="24"/>
        </w:rPr>
        <w:t>тва РФ от 27.12.2004г №861). Сроки действия технических условий по договору ТП-4года.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 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Россети Волга</w:t>
      </w:r>
      <w:r>
        <w:rPr>
          <w:sz w:val="24"/>
          <w:szCs w:val="24"/>
        </w:rPr>
        <w:t>»-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37/9 от 29.12.2020г., 2/5 от  22.01.2021г.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color w:val="000000"/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 августа 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bookmarkStart w:id="1" w:name="__DdeLink__53361_2653030480"/>
      <w:r>
        <w:rPr>
          <w:sz w:val="24"/>
          <w:szCs w:val="24"/>
        </w:rPr>
        <w:t xml:space="preserve">3) Согласно письма ГУП «Облводоресурс»-«Ивантеевский», </w:t>
      </w:r>
      <w:bookmarkEnd w:id="1"/>
      <w:r>
        <w:rPr>
          <w:sz w:val="24"/>
          <w:szCs w:val="24"/>
        </w:rPr>
        <w:t xml:space="preserve">техническая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возможность на подключение к сетям водоснабжения имеется.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Водоснабжение объекта по одному вводу водопровода расчетного диаметра с подключением к техническому водопроводу чугун диаметром — 250 по ул. Советская.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Свободный напор в точке подключения принять равным 10 м вод.ст.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Присоединяемая мощность абонента составляет 34,56 м3/сут.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i/>
          <w:iCs/>
          <w:color w:val="00000A"/>
          <w:kern w:val="0"/>
          <w:sz w:val="24"/>
          <w:szCs w:val="24"/>
          <w:lang w:val="ru-RU" w:eastAsia="ru-RU" w:bidi="ar-SA"/>
        </w:rPr>
        <w:t>Особые условия: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i w:val="false"/>
          <w:iCs w:val="false"/>
          <w:color w:val="00000A"/>
          <w:kern w:val="0"/>
          <w:sz w:val="24"/>
          <w:szCs w:val="24"/>
          <w:lang w:val="ru-RU" w:eastAsia="ru-RU" w:bidi="ar-SA"/>
        </w:rPr>
        <w:t>1. До начала производства работ Заказчику необходимо разработать проект водоснабжения и согласовать с филиалом ГУП СО «Облводоресурс»- «Ивантеевский».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i w:val="false"/>
          <w:iCs w:val="false"/>
          <w:color w:val="00000A"/>
          <w:kern w:val="0"/>
          <w:sz w:val="24"/>
          <w:szCs w:val="24"/>
          <w:lang w:val="ru-RU" w:eastAsia="ru-RU" w:bidi="ar-SA"/>
        </w:rPr>
        <w:t>2. Водопровод проектировать из полиэтиленовых труб по ГОСТУ 18599-2001г.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i w:val="false"/>
          <w:iCs w:val="false"/>
          <w:color w:val="00000A"/>
          <w:kern w:val="0"/>
          <w:sz w:val="24"/>
          <w:szCs w:val="24"/>
          <w:lang w:val="ru-RU" w:eastAsia="ru-RU" w:bidi="ar-SA"/>
        </w:rPr>
        <w:t>3. На месте врезки в водопроводную сеть обустроить колодец.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i w:val="false"/>
          <w:iCs w:val="false"/>
          <w:color w:val="00000A"/>
          <w:kern w:val="0"/>
          <w:sz w:val="24"/>
          <w:szCs w:val="24"/>
          <w:lang w:val="ru-RU" w:eastAsia="ru-RU" w:bidi="ar-SA"/>
        </w:rPr>
        <w:t>4. Размещение объекта по отношению к действующим сетям водопровода и канализации должно соответствовать требованиям СНиП 2.07.01-89г.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i w:val="false"/>
          <w:iCs w:val="false"/>
          <w:color w:val="00000A"/>
          <w:kern w:val="0"/>
          <w:sz w:val="24"/>
          <w:szCs w:val="24"/>
          <w:lang w:val="ru-RU" w:eastAsia="ru-RU" w:bidi="ar-SA"/>
        </w:rPr>
        <w:t>5. На водопроводном вводе на границе ответственности предусмотрено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 для выполнения работ по последующему обслуживанию.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i w:val="false"/>
          <w:iCs w:val="false"/>
          <w:color w:val="00000A"/>
          <w:kern w:val="0"/>
          <w:sz w:val="24"/>
          <w:szCs w:val="24"/>
          <w:lang w:val="ru-RU" w:eastAsia="ru-RU" w:bidi="ar-SA"/>
        </w:rPr>
        <w:t>6. Предусмотреть установку в водомерном узле прибора учета воды с антимагнитной защитой.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i w:val="false"/>
          <w:iCs w:val="false"/>
          <w:color w:val="00000A"/>
          <w:kern w:val="0"/>
          <w:sz w:val="24"/>
          <w:szCs w:val="24"/>
          <w:lang w:val="ru-RU" w:eastAsia="ru-RU" w:bidi="ar-SA"/>
        </w:rPr>
        <w:t xml:space="preserve">7. 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</w:t>
      </w:r>
      <w:bookmarkStart w:id="2" w:name="__DdeLink__989_2506087550"/>
      <w:r>
        <w:rPr>
          <w:rFonts w:eastAsia="Times New Roman" w:cs="Times New Roman"/>
          <w:i w:val="false"/>
          <w:iCs w:val="false"/>
          <w:color w:val="00000A"/>
          <w:kern w:val="0"/>
          <w:sz w:val="24"/>
          <w:szCs w:val="24"/>
          <w:lang w:val="ru-RU" w:eastAsia="ru-RU" w:bidi="ar-SA"/>
        </w:rPr>
        <w:t>филиал ГУП СО «Облводоресурс»- «Ивантеевский»</w:t>
      </w:r>
      <w:bookmarkEnd w:id="2"/>
      <w:r>
        <w:rPr>
          <w:rFonts w:eastAsia="Times New Roman" w:cs="Times New Roman"/>
          <w:i w:val="false"/>
          <w:iCs w:val="false"/>
          <w:color w:val="00000A"/>
          <w:kern w:val="0"/>
          <w:sz w:val="24"/>
          <w:szCs w:val="24"/>
          <w:lang w:val="ru-RU" w:eastAsia="ru-RU" w:bidi="ar-SA"/>
        </w:rPr>
        <w:t xml:space="preserve"> и одновременно, представить документацию в соответствии с требованиями СНиП 3.01.04-87г.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i w:val="false"/>
          <w:iCs w:val="false"/>
          <w:color w:val="00000A"/>
          <w:kern w:val="0"/>
          <w:sz w:val="24"/>
          <w:szCs w:val="24"/>
          <w:lang w:val="ru-RU" w:eastAsia="ru-RU" w:bidi="ar-SA"/>
        </w:rPr>
        <w:t>8. Присоединение построенного водопровода к системе водоснабжения производится силами филиала ГУП СО «Облводоресурс»- «Ивантеевский», после получения Заказчиком разрешения о готовности объектов к вводу в эксплуатацию.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i w:val="false"/>
          <w:iCs w:val="false"/>
          <w:color w:val="00000A"/>
          <w:kern w:val="0"/>
          <w:sz w:val="24"/>
          <w:szCs w:val="24"/>
          <w:lang w:val="ru-RU" w:eastAsia="ru-RU" w:bidi="ar-SA"/>
        </w:rPr>
        <w:t>9. Запрещается любое самовольное  присоединение к действующим системам водоснабжения.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i w:val="false"/>
          <w:iCs w:val="false"/>
          <w:color w:val="00000A"/>
          <w:kern w:val="0"/>
          <w:sz w:val="24"/>
          <w:szCs w:val="24"/>
          <w:lang w:val="ru-RU" w:eastAsia="ru-RU" w:bidi="ar-SA"/>
        </w:rPr>
        <w:t>10. Ответственность за техническое состояние и обслуживание водопроводных сетей, сооружений и устройств на них, между филиалом ГУП СО «Облводоресурс»- «Ивантеевский»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эксплуатационной ответственности.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i w:val="false"/>
          <w:iCs w:val="false"/>
          <w:color w:val="00000A"/>
          <w:kern w:val="0"/>
          <w:sz w:val="24"/>
          <w:szCs w:val="24"/>
          <w:lang w:val="ru-RU" w:eastAsia="ru-RU" w:bidi="ar-SA"/>
        </w:rPr>
        <w:t>11.  Водоотведение по данному адресу отсутствует, поэтому необходимо пребусмотреть выгреб, устройство которого согласовать с территориальным отделом Роспотребнадзора по Саратовской области Пугачевском районе, по адресу:413726, Саратовская обл., г.Пугачев,ул.Оренбургская, 213, тел/факс 4-43-30.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i w:val="false"/>
          <w:iCs w:val="false"/>
          <w:color w:val="00000A"/>
          <w:kern w:val="0"/>
          <w:sz w:val="24"/>
          <w:szCs w:val="24"/>
          <w:lang w:val="ru-RU" w:eastAsia="ru-RU" w:bidi="ar-SA"/>
        </w:rPr>
        <w:t>12. Настоящие технические условия на подключение к сетям водоснабжения действительны два года со дня выдачи.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подать только одну заявку.</w:t>
      </w:r>
    </w:p>
    <w:p>
      <w:pPr>
        <w:pStyle w:val="Style24"/>
        <w:widowControl/>
        <w:bidi w:val="0"/>
        <w:spacing w:before="0" w:after="0"/>
        <w:ind w:left="0" w:right="0" w:firstLine="567"/>
        <w:jc w:val="both"/>
        <w:rPr/>
      </w:pPr>
      <w:r>
        <w:rPr>
          <w:sz w:val="24"/>
          <w:szCs w:val="24"/>
        </w:rPr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2">
        <w:r>
          <w:rPr>
            <w:rStyle w:val="Style15"/>
            <w:sz w:val="24"/>
            <w:szCs w:val="24"/>
            <w:u w:val="none"/>
            <w:lang w:val="en-US"/>
          </w:rPr>
          <w:t>iva</w:t>
        </w:r>
        <w:r>
          <w:rPr>
            <w:rStyle w:val="Style15"/>
            <w:sz w:val="24"/>
            <w:szCs w:val="24"/>
            <w:u w:val="none"/>
          </w:rPr>
          <w:t>_</w:t>
        </w:r>
        <w:r>
          <w:rPr>
            <w:rStyle w:val="Style15"/>
            <w:sz w:val="24"/>
            <w:szCs w:val="24"/>
            <w:u w:val="none"/>
            <w:lang w:val="en-US"/>
          </w:rPr>
          <w:t>omo</w:t>
        </w:r>
        <w:r>
          <w:rPr>
            <w:rStyle w:val="Style15"/>
            <w:sz w:val="24"/>
            <w:szCs w:val="24"/>
            <w:u w:val="none"/>
          </w:rPr>
          <w:t>@</w:t>
        </w:r>
        <w:r>
          <w:rPr>
            <w:rStyle w:val="Style15"/>
            <w:sz w:val="24"/>
            <w:szCs w:val="24"/>
            <w:u w:val="none"/>
            <w:lang w:val="en-US"/>
          </w:rPr>
          <w:t>rambler</w:t>
        </w:r>
        <w:r>
          <w:rPr>
            <w:rStyle w:val="Style15"/>
            <w:sz w:val="24"/>
            <w:szCs w:val="24"/>
            <w:u w:val="none"/>
          </w:rPr>
          <w:t>.</w:t>
        </w:r>
        <w:r>
          <w:rPr>
            <w:rStyle w:val="Style15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4"/>
        <w:ind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4"/>
        <w:ind w:firstLine="567"/>
        <w:rPr>
          <w:color w:val="FF0000"/>
        </w:rPr>
      </w:pPr>
      <w:r>
        <w:rPr>
          <w:b/>
          <w:bCs/>
          <w:color w:val="111111"/>
          <w:sz w:val="24"/>
          <w:szCs w:val="24"/>
        </w:rPr>
        <w:t xml:space="preserve">Срок и порядок внесения задатка: </w:t>
      </w:r>
      <w:r>
        <w:rPr>
          <w:color w:val="111111"/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color w:val="111111"/>
        </w:rPr>
        <w:t>Казначейский счет</w:t>
      </w:r>
      <w:r>
        <w:rPr>
          <w:color w:val="111111"/>
        </w:rPr>
        <w:t xml:space="preserve">: 03232643636190006000, </w:t>
      </w:r>
      <w:r>
        <w:rPr>
          <w:b/>
          <w:color w:val="111111"/>
        </w:rPr>
        <w:t>Единый казначейский счет:</w:t>
      </w:r>
      <w:r>
        <w:rPr>
          <w:color w:val="111111"/>
        </w:rPr>
        <w:t xml:space="preserve"> 40102810845370000052, </w:t>
      </w:r>
      <w:r>
        <w:rPr>
          <w:b/>
          <w:color w:val="111111"/>
        </w:rPr>
        <w:t>Банк  получателя</w:t>
      </w:r>
      <w:r>
        <w:rPr>
          <w:color w:val="111111"/>
        </w:rPr>
        <w:t xml:space="preserve">: Отделение Саратов Банка России//УФК по Саратовской области г.Саратов, </w:t>
      </w:r>
      <w:r>
        <w:rPr>
          <w:b/>
          <w:color w:val="111111"/>
        </w:rPr>
        <w:t>Получатель:</w:t>
      </w:r>
      <w:r>
        <w:rPr>
          <w:color w:val="111111"/>
        </w:rPr>
        <w:t xml:space="preserve"> УФК по Саратовской области (Администрация Ивантеевского муниципального района Саратовской области), </w:t>
      </w:r>
      <w:r>
        <w:rPr>
          <w:b/>
          <w:color w:val="111111"/>
        </w:rPr>
        <w:t>ИНН</w:t>
      </w:r>
      <w:r>
        <w:rPr>
          <w:color w:val="111111"/>
        </w:rPr>
        <w:t xml:space="preserve"> 6414001592, </w:t>
      </w:r>
      <w:r>
        <w:rPr>
          <w:b/>
          <w:color w:val="111111"/>
        </w:rPr>
        <w:t>КПП</w:t>
      </w:r>
      <w:r>
        <w:rPr>
          <w:color w:val="111111"/>
        </w:rPr>
        <w:t xml:space="preserve"> 641401001, </w:t>
      </w:r>
      <w:r>
        <w:rPr>
          <w:b/>
          <w:color w:val="111111"/>
        </w:rPr>
        <w:t>БИК</w:t>
      </w:r>
      <w:r>
        <w:rPr>
          <w:color w:val="111111"/>
        </w:rPr>
        <w:t xml:space="preserve"> 016311121, </w:t>
      </w:r>
      <w:r>
        <w:rPr>
          <w:color w:val="111111"/>
          <w:sz w:val="24"/>
          <w:szCs w:val="24"/>
        </w:rPr>
        <w:t>назначение платежа  «Средства, поступающие во временное распоряжение».</w:t>
      </w:r>
    </w:p>
    <w:p>
      <w:pPr>
        <w:pStyle w:val="Style24"/>
        <w:ind w:firstLine="567"/>
        <w:rPr/>
      </w:pPr>
      <w:r>
        <w:rPr>
          <w:b/>
          <w:sz w:val="24"/>
          <w:szCs w:val="24"/>
        </w:rPr>
        <w:t xml:space="preserve">Задаток должен поступить на счет Продавца не позднее  </w:t>
      </w:r>
      <w:r>
        <w:rPr>
          <w:b/>
          <w:color w:val="auto"/>
          <w:sz w:val="24"/>
          <w:szCs w:val="24"/>
        </w:rPr>
        <w:t>даты и времени окончания приема заявок</w:t>
      </w:r>
      <w:r>
        <w:rPr>
          <w:b/>
          <w:sz w:val="24"/>
          <w:szCs w:val="24"/>
        </w:rPr>
        <w:t>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3">
        <w:r>
          <w:rPr>
            <w:rStyle w:val="Style"/>
            <w:rFonts w:ascii="Times New Roman" w:hAnsi="Times New Roman"/>
            <w:sz w:val="24"/>
            <w:szCs w:val="24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4">
        <w:r>
          <w:rPr>
            <w:rStyle w:val="Style"/>
            <w:rFonts w:ascii="Times New Roman" w:hAnsi="Times New Roman"/>
            <w:sz w:val="24"/>
            <w:szCs w:val="24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5">
        <w:r>
          <w:rPr>
            <w:rStyle w:val="Style"/>
            <w:rFonts w:ascii="Times New Roman" w:hAnsi="Times New Roman"/>
            <w:sz w:val="24"/>
            <w:szCs w:val="24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3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3"/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по адресу: </w:t>
      </w:r>
      <w:hyperlink r:id="rId6">
        <w:r>
          <w:rPr>
            <w:rStyle w:val="Style15"/>
            <w:sz w:val="24"/>
            <w:szCs w:val="24"/>
          </w:rPr>
          <w:t>http://</w:t>
        </w:r>
      </w:hyperlink>
      <w:hyperlink r:id="rId7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 В.А. Болмосов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bookmarkStart w:id="4" w:name="_GoBack"/>
      <w:bookmarkEnd w:id="4"/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5" w:name="OLE_LINK5"/>
      <w:bookmarkStart w:id="6" w:name="OLE_LINK6"/>
      <w:r>
        <w:rPr/>
        <w:t>_____________________________________________________________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5"/>
      <w:bookmarkEnd w:id="6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25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25"/>
      </w:tblGrid>
      <w:tr>
        <w:trPr>
          <w:trHeight w:val="11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……………..………………………………………………………...…………………………………………………………………………………………………………………………………………</w:t>
            </w:r>
            <w:r>
              <w:rPr/>
              <w:t>......</w:t>
            </w:r>
          </w:p>
        </w:tc>
      </w:tr>
    </w:tbl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19"/>
          <w:szCs w:val="19"/>
        </w:rPr>
        <w:t>_________________________________________________________________________________________________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26"/>
        <w:gridCol w:w="699"/>
        <w:gridCol w:w="686"/>
        <w:gridCol w:w="686"/>
        <w:gridCol w:w="697"/>
        <w:gridCol w:w="688"/>
        <w:gridCol w:w="697"/>
        <w:gridCol w:w="691"/>
        <w:gridCol w:w="688"/>
        <w:gridCol w:w="696"/>
        <w:gridCol w:w="688"/>
        <w:gridCol w:w="697"/>
        <w:gridCol w:w="726"/>
      </w:tblGrid>
      <w:tr>
        <w:trPr>
          <w:trHeight w:val="187" w:hRule="atLeast"/>
        </w:trPr>
        <w:tc>
          <w:tcPr>
            <w:tcW w:w="20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25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38"/>
        <w:gridCol w:w="208"/>
        <w:gridCol w:w="238"/>
        <w:gridCol w:w="214"/>
        <w:gridCol w:w="226"/>
        <w:gridCol w:w="219"/>
        <w:gridCol w:w="219"/>
        <w:gridCol w:w="226"/>
        <w:gridCol w:w="219"/>
        <w:gridCol w:w="226"/>
        <w:gridCol w:w="216"/>
        <w:gridCol w:w="228"/>
        <w:gridCol w:w="216"/>
        <w:gridCol w:w="247"/>
        <w:gridCol w:w="197"/>
        <w:gridCol w:w="11"/>
        <w:gridCol w:w="236"/>
        <w:gridCol w:w="194"/>
        <w:gridCol w:w="175"/>
        <w:gridCol w:w="74"/>
        <w:gridCol w:w="228"/>
        <w:gridCol w:w="244"/>
        <w:gridCol w:w="76"/>
        <w:gridCol w:w="374"/>
        <w:gridCol w:w="240"/>
        <w:gridCol w:w="205"/>
        <w:gridCol w:w="393"/>
        <w:gridCol w:w="52"/>
        <w:gridCol w:w="459"/>
        <w:gridCol w:w="103"/>
        <w:gridCol w:w="346"/>
        <w:gridCol w:w="266"/>
        <w:gridCol w:w="181"/>
        <w:gridCol w:w="429"/>
        <w:gridCol w:w="74"/>
        <w:gridCol w:w="453"/>
        <w:gridCol w:w="119"/>
        <w:gridCol w:w="333"/>
        <w:gridCol w:w="280"/>
        <w:gridCol w:w="176"/>
        <w:gridCol w:w="364"/>
      </w:tblGrid>
      <w:tr>
        <w:trPr>
          <w:trHeight w:val="224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3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3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7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67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48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22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9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Приложение №2</w:t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"/>
      <w:bookmarkEnd w:id="7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4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4"/>
        <w:ind w:firstLine="425"/>
        <w:rPr>
          <w:sz w:val="24"/>
          <w:szCs w:val="24"/>
        </w:rPr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1 – расчет арендной платы.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 2 -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firstLine="567"/>
        <w:jc w:val="right"/>
        <w:rPr/>
      </w:pPr>
      <w:r>
        <w:rPr/>
        <w:t xml:space="preserve"> </w:t>
      </w:r>
      <w:r>
        <w:rPr/>
        <w:t xml:space="preserve">«_____»  ___________ № ______ </w:t>
      </w:r>
    </w:p>
    <w:p>
      <w:pPr>
        <w:pStyle w:val="Normal"/>
        <w:widowControl w:val="false"/>
        <w:ind w:firstLine="567"/>
        <w:jc w:val="right"/>
        <w:rPr/>
      </w:pPr>
      <w:r>
        <w:rPr/>
      </w:r>
    </w:p>
    <w:p>
      <w:pPr>
        <w:pStyle w:val="Normal"/>
        <w:widowControl w:val="false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non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right="-3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260" w:right="611" w:header="0" w:top="567" w:footer="0" w:bottom="567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5" w:customStyle="1">
    <w:name w:val="Интернет-ссылка"/>
    <w:basedOn w:val="DefaultParagraphFont"/>
    <w:uiPriority w:val="99"/>
    <w:unhideWhenUsed/>
    <w:rsid w:val="002f3f49"/>
    <w:rPr>
      <w:color w:val="0000FF" w:themeColor="hyperlink"/>
      <w:u w:val="single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11" w:customStyle="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qFormat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qFormat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1e0363"/>
    <w:rPr>
      <w:rFonts w:ascii="Tahoma" w:hAnsi="Tahoma" w:eastAsia="Times New Roman"/>
      <w:color w:val="00000A"/>
      <w:sz w:val="16"/>
      <w:szCs w:val="16"/>
      <w:lang w:eastAsia="ru-RU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jc w:val="center"/>
    </w:pPr>
    <w:rPr>
      <w:sz w:val="22"/>
      <w:szCs w:val="22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>
    <w:name w:val="Body Text Indent"/>
    <w:basedOn w:val="Normal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5" w:customStyle="1">
    <w:name w:val="готик текст"/>
    <w:qFormat/>
    <w:pPr>
      <w:widowControl/>
      <w:tabs>
        <w:tab w:val="clear" w:pos="720"/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13" w:customStyle="1">
    <w:name w:val="Без интервала1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NormalWeb">
    <w:name w:val="Normal (Web)"/>
    <w:basedOn w:val="Normal"/>
    <w:qFormat/>
    <w:pPr>
      <w:spacing w:before="280" w:after="119"/>
    </w:pPr>
    <w:rPr>
      <w:sz w:val="24"/>
      <w:szCs w:val="24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1e036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_omo@rambler.ru" TargetMode="External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Application>LibreOffice/6.3.4.2$Windows_x86 LibreOffice_project/60da17e045e08f1793c57c00ba83cdfce946d0aa</Application>
  <Pages>12</Pages>
  <Words>4281</Words>
  <Characters>33284</Characters>
  <CharactersWithSpaces>37850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2022-01-12T09:18:47Z</cp:lastPrinted>
  <dcterms:modified xsi:type="dcterms:W3CDTF">2022-01-12T09:16:06Z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