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8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emf" ContentType="image/x-emf"/>
  <Override PartName="/word/media/image15.emf" ContentType="image/x-emf"/>
  <Override PartName="/word/media/image16.emf" ContentType="image/x-emf"/>
  <Override PartName="/word/media/image17.jpeg" ContentType="image/jpeg"/>
  <Override PartName="/word/fontTable.xml" ContentType="application/vnd.openxmlformats-officedocument.wordprocessingml.fontTable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_rels/chart1.xml.rels" ContentType="application/vnd.openxmlformats-package.relationships+xml"/>
  <Override PartName="/word/charts/_rels/chart2.xml.rels" ContentType="application/vnd.openxmlformats-package.relationships+xml"/>
  <Override PartName="/word/charts/_rels/chart3.xml.rels" ContentType="application/vnd.openxmlformats-package.relationships+xml"/>
  <Override PartName="/word/theme/theme1.xml" ContentType="application/vnd.openxmlformats-officedocument.theme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_____Microsoft_Office_Excel1.xlsx" ContentType="application/vnd.openxmlformats-officedocument.spreadsheetml.sheet"/>
  <Override PartName="/word/embeddings/oleObject3.bin" ContentType="application/vnd.openxmlformats-officedocument.oleObject"/>
  <Override PartName="/word/embeddings/_____Microsoft_Office_Excel3.xlsx" ContentType="application/vnd.openxmlformats-officedocument.spreadsheetml.sheet"/>
  <Override PartName="/word/embeddings/_____Microsoft_Office_Excel2.xlsx" ContentType="application/vnd.openxmlformats-officedocument.spreadsheetml.sheet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EAF1DD"/>
  <w:body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Calibri"/>
          <w:b/>
          <w:b/>
          <w:sz w:val="28"/>
          <w:szCs w:val="28"/>
        </w:rPr>
      </w:pPr>
      <w:r>
        <w:rPr>
          <w:rFonts w:cs="Calibri" w:ascii="Times New Roman" w:hAnsi="Times New Roman"/>
          <w:b/>
          <w:sz w:val="28"/>
          <w:szCs w:val="28"/>
        </w:rPr>
      </w:r>
      <w:r>
        <mc:AlternateContent>
          <mc:Choice Requires="wps">
            <w:drawing>
              <wp:anchor behindDoc="0" distT="0" distB="0" distL="114300" distR="0" simplePos="0" locked="0" layoutInCell="1" allowOverlap="1" relativeHeight="4">
                <wp:simplePos x="0" y="0"/>
                <wp:positionH relativeFrom="column">
                  <wp:posOffset>-652780</wp:posOffset>
                </wp:positionH>
                <wp:positionV relativeFrom="paragraph">
                  <wp:posOffset>67945</wp:posOffset>
                </wp:positionV>
                <wp:extent cx="7075170" cy="1882140"/>
                <wp:effectExtent l="0" t="0" r="41577260" b="41577260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5170" cy="1882140"/>
                        </a:xfrm>
                        <a:prstGeom prst="rect"/>
                        <a:gradFill>
                          <a:gsLst>
                            <a:gs pos="0">
                              <a:srgbClr val="95b3d7"/>
                            </a:gs>
                            <a:gs pos="100000">
                              <a:srgbClr val="dce6f2"/>
                            </a:gs>
                          </a:gsLst>
                          <a:lin ang="5400000"/>
                        </a:gradFill>
                        <a:ln w="635">
                          <a:solidFill>
                            <a:srgbClr val="376092"/>
                          </a:solidFill>
                        </a:ln>
                        <a:effectLst>
                          <a:outerShdw dist="58799095" dir="2700000">
                            <a:srgbClr val="00000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tyle20"/>
                              <w:spacing w:lineRule="auto" w:line="240"/>
                              <w:jc w:val="center"/>
                              <w:rPr>
                                <w:rFonts w:ascii="Times New Roman" w:hAnsi="Times New Roman"/>
                                <w:b/>
                                <w:b/>
                                <w:color w:val="17365D" w:themeColor="text2" w:themeShade="bf"/>
                                <w:sz w:val="9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96"/>
                                <w:szCs w:val="56"/>
                              </w:rPr>
                              <w:t>Бюджет для граждан</w:t>
                            </w:r>
                          </w:p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376092" strokeweight="0pt" fillcolor="#95B3D7" style="position:absolute;rotation:0;width:557.1pt;height:148.2pt;mso-wrap-distance-left:9pt;mso-wrap-distance-right:9pt;mso-wrap-distance-top:0pt;mso-wrap-distance-bottom:0pt;margin-top:5.35pt;mso-position-vertical-relative:text;margin-left:-51.4pt;mso-position-horizontal-relative:text">
                <v:shadow on="t" color="#000000" offset="3273.8pt,3273.8pt"/>
                <v:fill type="gradient" angle="-180" color2="#DCE6F2"/>
                <v:textbox>
                  <w:txbxContent>
                    <w:p>
                      <w:pPr>
                        <w:pStyle w:val="Style20"/>
                        <w:spacing w:lineRule="auto" w:line="240"/>
                        <w:jc w:val="center"/>
                        <w:rPr>
                          <w:rFonts w:ascii="Times New Roman" w:hAnsi="Times New Roman"/>
                          <w:b/>
                          <w:b/>
                          <w:color w:val="17365D" w:themeColor="text2" w:themeShade="bf"/>
                          <w:sz w:val="96"/>
                          <w:szCs w:val="5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96"/>
                          <w:szCs w:val="56"/>
                        </w:rPr>
                        <w:t>Бюджет для граждан</w:t>
                      </w:r>
                    </w:p>
                    <w:p>
                      <w:pPr>
                        <w:pStyle w:val="Style20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>
        <w:rPr>
          <w:rFonts w:ascii="Times New Roman" w:hAnsi="Times New Roman"/>
          <w:b/>
          <w:sz w:val="28"/>
          <w:szCs w:val="28"/>
        </w:rPr>
      </w:r>
      <w:r>
        <mc:AlternateContent>
          <mc:Choice Requires="wps">
            <w:drawing>
              <wp:inline distT="0" distB="0" distL="114300" distR="114300">
                <wp:extent cx="9035415" cy="272415"/>
                <wp:effectExtent l="0" t="0" r="0" b="0"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5415" cy="2724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stroked="f" strokeweight="0pt" style="position:absolute;rotation:0;width:711.45pt;height:21.45pt;mso-wrap-distance-left:9pt;mso-wrap-distance-right:9pt;mso-wrap-distance-top:0pt;mso-wrap-distance-bottom:0pt;margin-top:0pt;mso-position-vertical-relative:text;margin-left:0pt;mso-position-horizontal-relative:text"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  <w:r>
        <mc:AlternateContent>
          <mc:Choice Requires="wps">
            <w:drawing>
              <wp:anchor behindDoc="0" distT="0" distB="0" distL="114300" distR="0" simplePos="0" locked="0" layoutInCell="1" allowOverlap="1" relativeHeight="3">
                <wp:simplePos x="0" y="0"/>
                <wp:positionH relativeFrom="column">
                  <wp:posOffset>-176530</wp:posOffset>
                </wp:positionH>
                <wp:positionV relativeFrom="paragraph">
                  <wp:posOffset>236855</wp:posOffset>
                </wp:positionV>
                <wp:extent cx="6381750" cy="1543050"/>
                <wp:effectExtent l="0" t="0" r="41577260" b="4157726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543050"/>
                        </a:xfrm>
                        <a:prstGeom prst="rect"/>
                        <a:solidFill>
                          <a:srgbClr val="F2DBDB"/>
                        </a:solidFill>
                        <a:ln w="635">
                          <a:solidFill>
                            <a:srgbClr val="365F91"/>
                          </a:solidFill>
                        </a:ln>
                        <a:effectLst>
                          <a:outerShdw dist="58799095" dir="2700000">
                            <a:srgbClr val="00000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200"/>
                              <w:jc w:val="center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к решению №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8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от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22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мая 2023 года «Об утверждении отчета об исполнении бюджета Николаевского муниципального образования за 2022 год»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56"/>
                                <w:szCs w:val="5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2DBDB" strokecolor="#365F91" strokeweight="0pt" style="position:absolute;rotation:0;width:502.5pt;height:121.5pt;mso-wrap-distance-left:9pt;mso-wrap-distance-right:9pt;mso-wrap-distance-top:0pt;mso-wrap-distance-bottom:0pt;margin-top:18.65pt;mso-position-vertical-relative:text;margin-left:-13.9pt;mso-position-horizontal-relative:text">
                <v:shadow on="t" color="#000000" offset="3273.8pt,3273.8pt"/>
                <v:textbox>
                  <w:txbxContent>
                    <w:p>
                      <w:pPr>
                        <w:pStyle w:val="Style20"/>
                        <w:spacing w:lineRule="auto" w:line="240" w:before="0" w:after="200"/>
                        <w:jc w:val="center"/>
                        <w:rPr/>
                      </w:pP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к решению № </w:t>
                      </w: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8 </w:t>
                      </w: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от </w:t>
                      </w: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22 </w:t>
                      </w: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мая 2023 года «Об утверждении отчета об исполнении бюджета Николаевского муниципального образования за 2022 год»</w:t>
                      </w: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56"/>
                          <w:szCs w:val="56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  <w:r>
        <mc:AlternateContent>
          <mc:Choice Requires="wps">
            <w:drawing>
              <wp:anchor behindDoc="0" distT="0" distB="0" distL="114300" distR="0" simplePos="0" locked="0" layoutInCell="1" allowOverlap="1" relativeHeight="5">
                <wp:simplePos x="0" y="0"/>
                <wp:positionH relativeFrom="column">
                  <wp:posOffset>985520</wp:posOffset>
                </wp:positionH>
                <wp:positionV relativeFrom="paragraph">
                  <wp:posOffset>323850</wp:posOffset>
                </wp:positionV>
                <wp:extent cx="4124325" cy="3362325"/>
                <wp:effectExtent l="0" t="0" r="41577260" b="4157726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3362325"/>
                        </a:xfrm>
                        <a:prstGeom prst="rect"/>
                        <a:solidFill>
                          <a:srgbClr val="F2DBDB"/>
                        </a:solidFill>
                        <a:ln w="635">
                          <a:solidFill>
                            <a:srgbClr val="365F91"/>
                          </a:solidFill>
                        </a:ln>
                        <a:effectLst>
                          <a:outerShdw dist="58799095" dir="2700000">
                            <a:srgbClr val="00000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200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56"/>
                                <w:szCs w:val="56"/>
                              </w:rPr>
                              <w:drawing>
                                <wp:inline distT="0" distB="0" distL="19050" distR="9525">
                                  <wp:extent cx="3533775" cy="3105150"/>
                                  <wp:effectExtent l="0" t="0" r="0" b="0"/>
                                  <wp:docPr id="5" name="Рисунок 8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Рисунок 8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3775" cy="3105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2DBDB" strokecolor="#365F91" strokeweight="0pt" style="position:absolute;rotation:0;width:324.75pt;height:264.75pt;mso-wrap-distance-left:9pt;mso-wrap-distance-right:9pt;mso-wrap-distance-top:0pt;mso-wrap-distance-bottom:0pt;margin-top:25.5pt;mso-position-vertical-relative:text;margin-left:77.6pt;mso-position-horizontal-relative:text">
                <v:shadow on="t" color="#000000" offset="3273.8pt,3273.8pt"/>
                <v:textbox>
                  <w:txbxContent>
                    <w:p>
                      <w:pPr>
                        <w:pStyle w:val="Style20"/>
                        <w:spacing w:lineRule="auto" w:line="240" w:before="0" w:after="200"/>
                        <w:rPr/>
                      </w:pP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56"/>
                          <w:szCs w:val="56"/>
                        </w:rPr>
                        <w:drawing>
                          <wp:inline distT="0" distB="0" distL="19050" distR="9525">
                            <wp:extent cx="3533775" cy="3105150"/>
                            <wp:effectExtent l="0" t="0" r="0" b="0"/>
                            <wp:docPr id="6" name="Рисунок 8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8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3775" cy="3105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color w:val="E36C0A" w:themeColor="accent6" w:themeShade="bf"/>
          <w:sz w:val="72"/>
          <w:szCs w:val="72"/>
        </w:rPr>
      </w:pPr>
      <w:r>
        <w:rPr>
          <w:rFonts w:ascii="Times New Roman" w:hAnsi="Times New Roman"/>
          <w:b/>
          <w:color w:val="E36C0A" w:themeColor="accent6" w:themeShade="bf"/>
          <w:sz w:val="72"/>
          <w:szCs w:val="72"/>
        </w:rPr>
      </w:r>
    </w:p>
    <w:p>
      <w:pPr>
        <w:pStyle w:val="Normal"/>
        <w:tabs>
          <w:tab w:val="left" w:pos="3210" w:leader="none"/>
        </w:tabs>
        <w:spacing w:lineRule="auto" w:line="240" w:before="0" w:after="0"/>
        <w:rPr>
          <w:rFonts w:ascii="Times New Roman" w:hAnsi="Times New Roman"/>
          <w:b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</w:r>
    </w:p>
    <w:p>
      <w:pPr>
        <w:pStyle w:val="Normal"/>
        <w:shd w:val="clear" w:color="auto" w:fill="EAF1DD" w:themeFill="accent3" w:themeFillTint="33"/>
        <w:spacing w:lineRule="auto" w:line="240"/>
        <w:ind w:firstLine="708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Уважаемые жители Николаевского муниципального образования.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 прежде всего для жителей,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Николаевского муниципального образования.</w:t>
      </w:r>
    </w:p>
    <w:p>
      <w:pPr>
        <w:pStyle w:val="Normal"/>
        <w:spacing w:lineRule="auto" w:line="240"/>
        <w:ind w:left="-567" w:right="849" w:firstLine="567"/>
        <w:jc w:val="center"/>
        <w:rPr>
          <w:rFonts w:ascii="Times New Roman" w:hAnsi="Times New Roman"/>
          <w:b/>
          <w:b/>
          <w:sz w:val="30"/>
          <w:szCs w:val="30"/>
        </w:rPr>
      </w:pPr>
      <w:r>
        <w:rPr/>
        <w:drawing>
          <wp:inline distT="0" distB="0" distL="19050" distR="0">
            <wp:extent cx="6038850" cy="2903220"/>
            <wp:effectExtent l="0" t="0" r="0" b="0"/>
            <wp:docPr id="7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Что такое бюджет?</w:t>
      </w:r>
    </w:p>
    <w:p>
      <w:pPr>
        <w:pStyle w:val="Normal"/>
        <w:spacing w:lineRule="auto" w:line="240"/>
        <w:jc w:val="right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19050" distR="0">
            <wp:extent cx="6276975" cy="3848100"/>
            <wp:effectExtent l="0" t="0" r="0" b="0"/>
            <wp:docPr id="8" name="Рисунок 4" descr="C:\Users\Ольга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" descr="C:\Users\Ольга\Desktop\img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Исполнение бюджета Николаевского муниципального образования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 2022 год</w:t>
      </w:r>
    </w:p>
    <w:p>
      <w:pPr>
        <w:pStyle w:val="Normal"/>
        <w:spacing w:lineRule="auto" w:line="240" w:before="0" w:after="0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тыс. руб.</w:t>
      </w:r>
    </w:p>
    <w:tbl>
      <w:tblPr>
        <w:tblW w:w="10173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5353"/>
        <w:gridCol w:w="2268"/>
        <w:gridCol w:w="2552"/>
      </w:tblGrid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2022 года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 года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3997,1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4628,7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1361,4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1993,0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2635,7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2635,7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4670,6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4664,6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1832,9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1829,9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105,4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105,4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1825,4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1825,4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896,4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893,4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10,5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10,5</w:t>
            </w:r>
          </w:p>
        </w:tc>
      </w:tr>
      <w:tr>
        <w:trPr/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-673,5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-35,9</w:t>
            </w:r>
          </w:p>
        </w:tc>
      </w:tr>
    </w:tbl>
    <w:p>
      <w:pPr>
        <w:pStyle w:val="Normal"/>
        <w:spacing w:lineRule="auto" w:lin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32"/>
          <w:szCs w:val="32"/>
        </w:rPr>
        <w:t>Зачем нужны бюджеты?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color w:val="404040"/>
          <w:sz w:val="32"/>
          <w:szCs w:val="32"/>
        </w:rPr>
      </w:pP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Ос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н</w:t>
      </w:r>
      <w:r>
        <w:rPr>
          <w:rFonts w:ascii="Times New Roman" w:hAnsi="Times New Roman"/>
          <w:b/>
          <w:bCs/>
          <w:color w:val="404040"/>
          <w:spacing w:val="-9"/>
          <w:position w:val="0"/>
          <w:sz w:val="32"/>
          <w:szCs w:val="32"/>
        </w:rPr>
        <w:t>о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в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н</w:t>
      </w:r>
      <w:r>
        <w:rPr>
          <w:rFonts w:ascii="Times New Roman" w:hAnsi="Times New Roman"/>
          <w:b/>
          <w:bCs/>
          <w:color w:val="404040"/>
          <w:spacing w:val="-1"/>
          <w:position w:val="0"/>
          <w:sz w:val="32"/>
          <w:szCs w:val="32"/>
        </w:rPr>
        <w:t>ы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е</w:t>
      </w:r>
      <w:r>
        <w:rPr>
          <w:rFonts w:ascii="Times New Roman" w:hAnsi="Times New Roman"/>
          <w:b/>
          <w:bCs/>
          <w:color w:val="404040"/>
          <w:spacing w:val="-7"/>
          <w:position w:val="0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color w:val="404040"/>
          <w:spacing w:val="-4"/>
          <w:position w:val="0"/>
          <w:sz w:val="32"/>
          <w:szCs w:val="32"/>
        </w:rPr>
        <w:t>х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ар</w:t>
      </w:r>
      <w:r>
        <w:rPr>
          <w:rFonts w:ascii="Times New Roman" w:hAnsi="Times New Roman"/>
          <w:b/>
          <w:bCs/>
          <w:color w:val="404040"/>
          <w:spacing w:val="2"/>
          <w:position w:val="0"/>
          <w:sz w:val="32"/>
          <w:szCs w:val="32"/>
        </w:rPr>
        <w:t>а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к</w:t>
      </w:r>
      <w:r>
        <w:rPr>
          <w:rFonts w:ascii="Times New Roman" w:hAnsi="Times New Roman"/>
          <w:b/>
          <w:bCs/>
          <w:color w:val="404040"/>
          <w:spacing w:val="-3"/>
          <w:position w:val="0"/>
          <w:sz w:val="32"/>
          <w:szCs w:val="32"/>
        </w:rPr>
        <w:t>т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ер</w:t>
      </w:r>
      <w:r>
        <w:rPr>
          <w:rFonts w:ascii="Times New Roman" w:hAnsi="Times New Roman"/>
          <w:b/>
          <w:bCs/>
          <w:color w:val="404040"/>
          <w:spacing w:val="-1"/>
          <w:position w:val="0"/>
          <w:sz w:val="32"/>
          <w:szCs w:val="32"/>
        </w:rPr>
        <w:t>и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с</w:t>
      </w:r>
      <w:r>
        <w:rPr>
          <w:rFonts w:ascii="Times New Roman" w:hAnsi="Times New Roman"/>
          <w:b/>
          <w:bCs/>
          <w:color w:val="404040"/>
          <w:spacing w:val="-3"/>
          <w:position w:val="0"/>
          <w:sz w:val="32"/>
          <w:szCs w:val="32"/>
        </w:rPr>
        <w:t>т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и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к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и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б</w:t>
      </w:r>
      <w:r>
        <w:rPr>
          <w:rFonts w:ascii="Times New Roman" w:hAnsi="Times New Roman"/>
          <w:b/>
          <w:bCs/>
          <w:color w:val="404040"/>
          <w:spacing w:val="-22"/>
          <w:position w:val="0"/>
          <w:sz w:val="32"/>
          <w:szCs w:val="32"/>
        </w:rPr>
        <w:t>ю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д</w:t>
      </w:r>
      <w:r>
        <w:rPr>
          <w:rFonts w:ascii="Times New Roman" w:hAnsi="Times New Roman"/>
          <w:b/>
          <w:bCs/>
          <w:color w:val="404040"/>
          <w:spacing w:val="-5"/>
          <w:position w:val="0"/>
          <w:sz w:val="32"/>
          <w:szCs w:val="32"/>
        </w:rPr>
        <w:t>ж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е</w:t>
      </w:r>
      <w:r>
        <w:rPr>
          <w:rFonts w:ascii="Times New Roman" w:hAnsi="Times New Roman"/>
          <w:b/>
          <w:bCs/>
          <w:color w:val="404040"/>
          <w:spacing w:val="-8"/>
          <w:position w:val="0"/>
          <w:sz w:val="32"/>
          <w:szCs w:val="32"/>
        </w:rPr>
        <w:t>та</w:t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</w:r>
    </w:p>
    <w:tbl>
      <w:tblPr>
        <w:tblStyle w:val="a6"/>
        <w:tblW w:w="9995" w:type="dxa"/>
        <w:jc w:val="left"/>
        <w:tblInd w:w="0" w:type="dxa"/>
        <w:tblCellMar>
          <w:top w:w="0" w:type="dxa"/>
          <w:left w:w="98" w:type="dxa"/>
          <w:bottom w:w="0" w:type="dxa"/>
          <w:right w:w="108" w:type="dxa"/>
        </w:tblCellMar>
        <w:tblLook w:val="04a0"/>
      </w:tblPr>
      <w:tblGrid>
        <w:gridCol w:w="3347"/>
        <w:gridCol w:w="3328"/>
        <w:gridCol w:w="3320"/>
      </w:tblGrid>
      <w:tr>
        <w:trPr/>
        <w:tc>
          <w:tcPr>
            <w:tcW w:w="9995" w:type="dxa"/>
            <w:gridSpan w:val="3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color w:val="76923C" w:themeColor="accent3" w:themeShade="bf"/>
                <w:sz w:val="32"/>
              </w:rPr>
            </w:pPr>
            <w:r>
              <w:rPr>
                <w:rFonts w:eastAsia="Calibri" w:cs="Calibri"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>
        <w:trPr>
          <w:trHeight w:val="425" w:hRule="exact"/>
        </w:trPr>
        <w:tc>
          <w:tcPr>
            <w:tcW w:w="3347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color="auto" w:fill="76923C" w:themeFill="accent3" w:themeFillShade="bf" w:val="clear"/>
            <w:tcMar>
              <w:left w:w="98" w:type="dxa"/>
            </w:tcMar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/>
                <w:b/>
                <w:b/>
                <w:color w:val="FFFFFF" w:themeColor="background1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32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color="auto" w:fill="76923C" w:themeFill="accent3" w:themeFillShade="bf" w:val="clear"/>
            <w:tcMar>
              <w:left w:w="98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color w:val="FFFFFF" w:themeColor="background1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Calibri"/>
                <w:b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eastAsia="Calibri" w:cs="Calibri" w:ascii="Times New Roman" w:hAnsi="Times New Roman"/>
                <w:b/>
                <w:bCs/>
                <w:color w:val="FFFFFF" w:themeColor="background1"/>
                <w:sz w:val="32"/>
                <w:szCs w:val="32"/>
              </w:rPr>
            </w:r>
          </w:p>
        </w:tc>
        <w:tc>
          <w:tcPr>
            <w:tcW w:w="3320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color="auto" w:fill="76923C" w:themeFill="accent3" w:themeFillShade="bf" w:val="clear"/>
            <w:tcMar>
              <w:left w:w="98" w:type="dxa"/>
            </w:tcMar>
          </w:tcPr>
          <w:p>
            <w:pPr>
              <w:pStyle w:val="Normal"/>
              <w:jc w:val="center"/>
              <w:rPr>
                <w:rFonts w:ascii="Times New Roman" w:hAnsi="Times New Roman"/>
                <w:b/>
                <w:b/>
                <w:color w:val="FFFFFF" w:themeColor="background1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Calibri"/>
                <w:b/>
                <w:b/>
                <w:bCs/>
                <w:sz w:val="32"/>
                <w:szCs w:val="32"/>
              </w:rPr>
            </w:pPr>
            <w:r>
              <w:rPr>
                <w:rFonts w:eastAsia="Calibri" w:cs="Calibri" w:ascii="Times New Roman" w:hAnsi="Times New Roman"/>
                <w:b/>
                <w:bCs/>
                <w:sz w:val="32"/>
                <w:szCs w:val="32"/>
              </w:rPr>
            </w:r>
          </w:p>
        </w:tc>
      </w:tr>
      <w:tr>
        <w:trPr>
          <w:trHeight w:val="2949" w:hRule="atLeast"/>
        </w:trPr>
        <w:tc>
          <w:tcPr>
            <w:tcW w:w="3347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налог на доходы физических лиц,</w:t>
            </w:r>
          </w:p>
          <w:p>
            <w:pPr>
              <w:pStyle w:val="Normal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 xml:space="preserve">- единый сельскохозяйственный налог, 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налог на имущество физических лиц,</w:t>
            </w:r>
          </w:p>
          <w:p>
            <w:pPr>
              <w:pStyle w:val="Normal"/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земельный налог,</w:t>
            </w:r>
          </w:p>
          <w:p>
            <w:pPr>
              <w:pStyle w:val="Normal"/>
              <w:spacing w:before="0" w:after="200"/>
              <w:rPr>
                <w:rFonts w:ascii="Times New Roman" w:hAnsi="Times New Roman" w:eastAsia="Calibri" w:cs="Calibri"/>
                <w:b/>
                <w:b/>
                <w:bCs/>
                <w:sz w:val="32"/>
                <w:szCs w:val="32"/>
              </w:rPr>
            </w:pPr>
            <w:r>
              <w:rPr>
                <w:rFonts w:eastAsia="Calibri" w:cs="Calibri" w:ascii="Times New Roman" w:hAnsi="Times New Roman"/>
                <w:b/>
                <w:bCs/>
                <w:sz w:val="32"/>
                <w:szCs w:val="32"/>
              </w:rPr>
            </w:r>
          </w:p>
        </w:tc>
        <w:tc>
          <w:tcPr>
            <w:tcW w:w="3328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доходы от использования муниципального имущества,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штрафы за нарушение законодательства;</w:t>
            </w:r>
          </w:p>
          <w:p>
            <w:pPr>
              <w:pStyle w:val="Normal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320" w:type="dxa"/>
            <w:tcBorders>
              <w:top w:val="double" w:sz="4" w:space="0" w:color="76923C"/>
              <w:left w:val="double" w:sz="4" w:space="0" w:color="76923C"/>
              <w:bottom w:val="double" w:sz="4" w:space="0" w:color="76923C"/>
              <w:right w:val="double" w:sz="4" w:space="0" w:color="76923C"/>
              <w:insideH w:val="double" w:sz="4" w:space="0" w:color="76923C"/>
              <w:insideV w:val="double" w:sz="4" w:space="0" w:color="76923C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дотации;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субсидии;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субвенции;</w:t>
            </w:r>
          </w:p>
          <w:p>
            <w:pPr>
              <w:pStyle w:val="Normal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Calibri" w:ascii="Times New Roman" w:hAnsi="Times New Roman"/>
                <w:sz w:val="24"/>
                <w:szCs w:val="24"/>
              </w:rPr>
              <w:t>- иные межбюджетные трансферты;</w:t>
            </w:r>
          </w:p>
          <w:p>
            <w:pPr>
              <w:pStyle w:val="Normal"/>
              <w:spacing w:before="0" w:after="200"/>
              <w:jc w:val="center"/>
              <w:rPr>
                <w:rFonts w:ascii="Times New Roman" w:hAnsi="Times New Roman" w:eastAsia="Calibri" w:cs="Calibri"/>
                <w:b/>
                <w:b/>
                <w:bCs/>
                <w:sz w:val="32"/>
                <w:szCs w:val="32"/>
              </w:rPr>
            </w:pPr>
            <w:r>
              <w:rPr>
                <w:rFonts w:eastAsia="Calibri" w:cs="Calibri" w:ascii="Times New Roman" w:hAnsi="Times New Roman"/>
                <w:b/>
                <w:bCs/>
                <w:sz w:val="32"/>
                <w:szCs w:val="32"/>
              </w:rPr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  <w:lang w:eastAsia="ru-RU"/>
        </w:rPr>
      </w:pPr>
      <w:r>
        <w:rPr>
          <w:rFonts w:ascii="Times New Roman" w:hAnsi="Times New Roman"/>
          <w:b/>
          <w:sz w:val="32"/>
          <w:szCs w:val="32"/>
          <w:highlight w:val="yellow"/>
          <w:lang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  <w:lang w:eastAsia="ru-RU"/>
        </w:rPr>
      </w:pPr>
      <w:r>
        <w:rPr>
          <w:rFonts w:ascii="Times New Roman" w:hAnsi="Times New Roman"/>
          <w:b/>
          <w:sz w:val="32"/>
          <w:szCs w:val="32"/>
          <w:highlight w:val="yellow"/>
          <w:lang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  <w:lang w:eastAsia="ru-RU"/>
        </w:rPr>
      </w:pPr>
      <w:r>
        <w:rPr>
          <w:rFonts w:ascii="Times New Roman" w:hAnsi="Times New Roman"/>
          <w:b/>
          <w:sz w:val="32"/>
          <w:szCs w:val="32"/>
          <w:highlight w:val="yellow"/>
          <w:lang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4F6228" w:themeColor="accent3" w:themeShade="80"/>
          <w:sz w:val="32"/>
          <w:szCs w:val="32"/>
        </w:rPr>
      </w:pPr>
      <w:r>
        <w:rPr>
          <w:rFonts w:ascii="Times New Roman" w:hAnsi="Times New Roman"/>
          <w:b/>
          <w:bCs/>
          <w:color w:val="4F6228" w:themeColor="accent3" w:themeShade="80"/>
          <w:sz w:val="32"/>
          <w:szCs w:val="32"/>
        </w:rPr>
        <w:t>Межбюджетные трансферты - основной вид безвозмездных перечислений</w:t>
      </w:r>
    </w:p>
    <w:tbl>
      <w:tblPr>
        <w:tblStyle w:val="1-4"/>
        <w:tblpPr w:bottomFromText="0" w:horzAnchor="margin" w:leftFromText="180" w:rightFromText="180" w:tblpX="0" w:tblpY="1916" w:topFromText="0" w:vertAnchor="page"/>
        <w:tblW w:w="10031" w:type="dxa"/>
        <w:jc w:val="left"/>
        <w:tblInd w:w="0" w:type="dxa"/>
        <w:tblCellMar>
          <w:top w:w="0" w:type="dxa"/>
          <w:left w:w="103" w:type="dxa"/>
          <w:bottom w:w="0" w:type="dxa"/>
          <w:right w:w="108" w:type="dxa"/>
        </w:tblCellMar>
        <w:tblLook w:val="04a0"/>
      </w:tblPr>
      <w:tblGrid>
        <w:gridCol w:w="2943"/>
        <w:gridCol w:w="2834"/>
        <w:gridCol w:w="4254"/>
      </w:tblGrid>
      <w:tr>
        <w:trPr>
          <w:cnfStyle w:val="100000000000"/>
        </w:trPr>
        <w:tc>
          <w:tcPr>
            <w:tcW w:w="2943" w:type="dxa"/>
            <w:cnfStyle w:val="001000000000"/>
            <w:tcBorders>
              <w:top w:val="single" w:sz="4" w:space="0" w:color="76923C"/>
              <w:left w:val="single" w:sz="4" w:space="0" w:color="76923C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76923C" w:themeFill="accent3" w:themeFillShade="bf" w:val="clear"/>
            <w:tcMar>
              <w:left w:w="103" w:type="dxa"/>
            </w:tcMar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Виды межбюджетных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трансфертов</w:t>
            </w:r>
          </w:p>
        </w:tc>
        <w:tc>
          <w:tcPr>
            <w:tcW w:w="2834" w:type="dxa"/>
            <w:tcBorders>
              <w:top w:val="single" w:sz="4" w:space="0" w:color="76923C"/>
              <w:left w:val="nil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76923C" w:themeFill="accent3" w:themeFillShade="bf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cnfStyle w:val="100000000000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Определение</w:t>
            </w:r>
          </w:p>
        </w:tc>
        <w:tc>
          <w:tcPr>
            <w:tcW w:w="4254" w:type="dxa"/>
            <w:tcBorders>
              <w:top w:val="single" w:sz="4" w:space="0" w:color="76923C"/>
              <w:left w:val="nil"/>
              <w:bottom w:val="single" w:sz="4" w:space="0" w:color="76923C"/>
              <w:right w:val="single" w:sz="4" w:space="0" w:color="76923C"/>
              <w:insideH w:val="single" w:sz="4" w:space="0" w:color="76923C"/>
              <w:insideV w:val="single" w:sz="4" w:space="0" w:color="76923C"/>
            </w:tcBorders>
            <w:shd w:color="auto" w:fill="76923C" w:themeFill="accent3" w:themeFillShade="bf" w:val="clear"/>
          </w:tcPr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cnfStyle w:val="100000000000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Аналогия в семейном</w:t>
            </w:r>
          </w:p>
          <w:p>
            <w:pPr>
              <w:pStyle w:val="ListParagraph"/>
              <w:spacing w:lineRule="auto" w:line="240" w:before="0" w:after="0"/>
              <w:ind w:left="0" w:hanging="0"/>
              <w:contextualSpacing/>
              <w:jc w:val="center"/>
              <w:cnfStyle w:val="100000000000"/>
              <w:rPr>
                <w:rFonts w:ascii="Times New Roman" w:hAnsi="Times New Roman" w:eastAsia="Times New Roman"/>
                <w:b w:val="false"/>
                <w:b w:val="false"/>
                <w:bCs w:val="false"/>
                <w:sz w:val="28"/>
                <w:szCs w:val="28"/>
              </w:rPr>
            </w:pPr>
            <w:r>
              <w:rPr>
                <w:rFonts w:eastAsia="Times New Roman" w:cs="" w:cstheme="minorBidi" w:ascii="Times New Roman" w:hAnsi="Times New Roman"/>
                <w:b w:val="false"/>
                <w:bCs w:val="false"/>
                <w:color w:val="FFFFFF" w:themeColor="background1"/>
                <w:sz w:val="28"/>
                <w:szCs w:val="28"/>
                <w:lang w:val="en-US" w:eastAsia="en-US" w:bidi="en-US"/>
              </w:rPr>
              <w:t>бюджете</w:t>
            </w:r>
          </w:p>
        </w:tc>
      </w:tr>
      <w:tr>
        <w:trPr>
          <w:cnfStyle w:val="000000100000"/>
        </w:trPr>
        <w:tc>
          <w:tcPr>
            <w:tcW w:w="2943" w:type="dxa"/>
            <w:cnfStyle w:val="001000000000"/>
            <w:tcBorders>
              <w:top w:val="nil"/>
              <w:left w:val="single" w:sz="4" w:space="0" w:color="76923C"/>
              <w:bottom w:val="nil"/>
              <w:right w:val="nil"/>
              <w:insideH w:val="nil"/>
              <w:insideV w:val="nil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ListParagraph"/>
              <w:spacing w:before="0" w:after="200"/>
              <w:ind w:left="0" w:hanging="0"/>
              <w:contextualSpacing/>
              <w:rPr>
                <w:rFonts w:ascii="Times New Roman" w:hAnsi="Times New Roman" w:eastAsia="Times New Roman"/>
                <w:b w:val="false"/>
                <w:b w:val="false"/>
                <w:bCs w:val="false"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/>
                <w:b w:val="false"/>
                <w:bCs w:val="false"/>
                <w:sz w:val="24"/>
                <w:szCs w:val="24"/>
                <w:lang w:val="en-US" w:eastAsia="en-US" w:bidi="en-US"/>
              </w:rPr>
              <w:t>Дотации (от лат. «Dotatio» –дар, пожертвование)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single" w:sz="4" w:space="0" w:color="76923C"/>
              <w:insideH w:val="nil"/>
              <w:insideV w:val="single" w:sz="4" w:space="0" w:color="76923C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Вы даете своему ребенку «карманные деньги»</w:t>
            </w:r>
          </w:p>
        </w:tc>
      </w:tr>
      <w:tr>
        <w:trPr>
          <w:trHeight w:val="1613" w:hRule="atLeast"/>
          <w:cnfStyle w:val="000000010000"/>
        </w:trPr>
        <w:tc>
          <w:tcPr>
            <w:tcW w:w="2943" w:type="dxa"/>
            <w:cnfStyle w:val="001000000000"/>
            <w:tcBorders>
              <w:top w:val="nil"/>
              <w:left w:val="single" w:sz="4" w:space="0" w:color="76923C"/>
              <w:bottom w:val="nil"/>
              <w:right w:val="nil"/>
              <w:insideH w:val="nil"/>
              <w:insideV w:val="nil"/>
            </w:tcBorders>
            <w:shd w:fill="auto" w:val="clear"/>
            <w:tcMar>
              <w:left w:w="103" w:type="dxa"/>
            </w:tcMar>
          </w:tcPr>
          <w:p>
            <w:pPr>
              <w:pStyle w:val="ListParagraph"/>
              <w:spacing w:before="0" w:after="200"/>
              <w:ind w:left="0" w:hanging="0"/>
              <w:contextualSpacing/>
              <w:rPr>
                <w:rFonts w:ascii="Times New Roman" w:hAnsi="Times New Roman" w:eastAsia="Times New Roman"/>
                <w:b w:val="false"/>
                <w:b w:val="false"/>
                <w:bCs w:val="false"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/>
                <w:b w:val="false"/>
                <w:bCs w:val="false"/>
                <w:sz w:val="24"/>
                <w:szCs w:val="24"/>
                <w:lang w:val="en-US" w:eastAsia="en-US" w:bidi="en-US"/>
              </w:rPr>
              <w:t>Субвенции (от лат.Subveire»– приходить на помощь)</w:t>
            </w:r>
          </w:p>
        </w:tc>
        <w:tc>
          <w:tcPr>
            <w:tcW w:w="2834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Предоставляются на финансирование«переданных» другим публично-правовым образованиям полномочий</w:t>
            </w:r>
          </w:p>
        </w:tc>
        <w:tc>
          <w:tcPr>
            <w:tcW w:w="4254" w:type="dxa"/>
            <w:tcBorders>
              <w:top w:val="nil"/>
              <w:left w:val="nil"/>
              <w:bottom w:val="nil"/>
              <w:right w:val="single" w:sz="4" w:space="0" w:color="76923C"/>
              <w:insideH w:val="nil"/>
              <w:insideV w:val="single" w:sz="4" w:space="0" w:color="76923C"/>
            </w:tcBorders>
            <w:shd w:fill="auto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Вы даете своему ребенку деньги и посылаете его в магазин купить продукты(по списку)</w:t>
            </w:r>
          </w:p>
        </w:tc>
      </w:tr>
      <w:tr>
        <w:trPr>
          <w:cnfStyle w:val="000000100000"/>
        </w:trPr>
        <w:tc>
          <w:tcPr>
            <w:tcW w:w="2943" w:type="dxa"/>
            <w:cnfStyle w:val="001000000000"/>
            <w:tcBorders>
              <w:top w:val="nil"/>
              <w:left w:val="single" w:sz="4" w:space="0" w:color="76923C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C2D69B" w:themeFill="accent3" w:themeFillTint="99" w:val="clear"/>
            <w:tcMar>
              <w:left w:w="103" w:type="dxa"/>
            </w:tcMar>
          </w:tcPr>
          <w:p>
            <w:pPr>
              <w:pStyle w:val="ListParagraph"/>
              <w:spacing w:before="0" w:after="200"/>
              <w:ind w:left="0" w:hanging="0"/>
              <w:contextualSpacing/>
              <w:rPr>
                <w:rFonts w:ascii="Times New Roman" w:hAnsi="Times New Roman" w:eastAsia="Times New Roman"/>
                <w:b w:val="false"/>
                <w:b w:val="false"/>
                <w:bCs w:val="false"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/>
                <w:b w:val="false"/>
                <w:bCs w:val="false"/>
                <w:sz w:val="24"/>
                <w:szCs w:val="24"/>
                <w:lang w:val="en-US" w:eastAsia="en-US" w:bidi="en-US"/>
              </w:rPr>
              <w:t>Субсидии (от лат.«Subsidium» - поддержка)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76923C"/>
              <w:right w:val="nil"/>
              <w:insideH w:val="single" w:sz="4" w:space="0" w:color="76923C"/>
              <w:insideV w:val="nil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Предоставляются на условиях долевого софинансирования расходов других бюджетов</w:t>
            </w:r>
          </w:p>
        </w:tc>
        <w:tc>
          <w:tcPr>
            <w:tcW w:w="4254" w:type="dxa"/>
            <w:tcBorders>
              <w:top w:val="nil"/>
              <w:left w:val="nil"/>
              <w:bottom w:val="single" w:sz="4" w:space="0" w:color="76923C"/>
              <w:right w:val="single" w:sz="4" w:space="0" w:color="76923C"/>
              <w:insideH w:val="single" w:sz="4" w:space="0" w:color="76923C"/>
              <w:insideV w:val="single" w:sz="4" w:space="0" w:color="76923C"/>
            </w:tcBorders>
            <w:shd w:color="auto" w:fill="C2D69B" w:themeFill="accent3" w:themeFillTint="99" w:val="clear"/>
          </w:tcPr>
          <w:p>
            <w:pPr>
              <w:pStyle w:val="ListParagraph"/>
              <w:spacing w:before="0" w:after="200"/>
              <w:ind w:left="0" w:hanging="0"/>
              <w:contextualSpacing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>
              <w:rPr>
                <w:rFonts w:eastAsia="" w:cs="" w:cstheme="minorBidi" w:eastAsiaTheme="minorEastAsia" w:ascii="Times New Roman" w:hAnsi="Times New Roman"/>
                <w:bCs/>
                <w:sz w:val="24"/>
                <w:szCs w:val="24"/>
                <w:lang w:val="ru-RU" w:eastAsia="en-US" w:bidi="en-US"/>
              </w:rPr>
              <w:t>Вы «добавляете» денег для того, чтобы ваш ребенок купил себе новый телефон(а остальные он накопит сам)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/>
        <w:drawing>
          <wp:inline distT="0" distB="0" distL="19050" distR="9525">
            <wp:extent cx="4295775" cy="2571750"/>
            <wp:effectExtent l="0" t="0" r="0" b="0"/>
            <wp:docPr id="9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19050" distR="0">
            <wp:extent cx="6248400" cy="4457700"/>
            <wp:effectExtent l="0" t="0" r="0" b="0"/>
            <wp:docPr id="10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Налоги, зачисляемые в бюджет муниципального образования                         в 2022 году </w:t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tbl>
      <w:tblPr>
        <w:tblW w:w="9889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190"/>
        <w:gridCol w:w="3190"/>
        <w:gridCol w:w="3509"/>
      </w:tblGrid>
      <w:tr>
        <w:trPr/>
        <w:tc>
          <w:tcPr>
            <w:tcW w:w="3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5050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9FF33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66CCFF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>
        <w:trPr>
          <w:trHeight w:val="2153" w:hRule="atLeast"/>
        </w:trPr>
        <w:tc>
          <w:tcPr>
            <w:tcW w:w="98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3 %                                    100 %                                      100 %</w:t>
            </w:r>
          </w:p>
          <w:p>
            <w:pPr>
              <w:pStyle w:val="Normal"/>
              <w:widowControl w:val="false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  <w:r>
              <mc:AlternateContent>
                <mc:Choice Requires="wps">
                  <w:drawing>
                    <wp:anchor behindDoc="0" distT="0" distB="0" distL="114300" distR="97155" simplePos="0" locked="0" layoutInCell="1" allowOverlap="1" relativeHeight="6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1270</wp:posOffset>
                      </wp:positionV>
                      <wp:extent cx="876300" cy="823595"/>
                      <wp:effectExtent l="0" t="0" r="17145" b="17145"/>
                      <wp:wrapNone/>
                      <wp:docPr id="11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823595"/>
                              </a:xfrm>
                              <a:prstGeom prst="rect"/>
                              <a:solidFill>
                                <a:srgbClr val="FF5050"/>
                              </a:solidFill>
                              <a:ln w="12700">
                                <a:solidFill>
                                  <a:srgbClr val="4F81BD"/>
                                </a:solidFill>
                              </a:ln>
                              <a:effectLst>
                                <a:outerShdw dist="24130" dir="2700000">
                                  <a:srgbClr val="243F60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5050" strokecolor="#4F81BD" strokeweight="1pt" style="position:absolute;rotation:0;width:69pt;height:64.85pt;mso-wrap-distance-left:9pt;mso-wrap-distance-right:9pt;mso-wrap-distance-top:0pt;mso-wrap-distance-bottom:0pt;margin-top:0.1pt;mso-position-vertical-relative:text;margin-left:42.45pt;mso-position-horizontal-relative:text">
                      <v:shadow on="t" color="#243F60" offset="1.35pt,1.35pt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0" distL="114300" distR="97155" simplePos="0" locked="0" layoutInCell="1" allowOverlap="1" relativeHeight="7">
                      <wp:simplePos x="0" y="0"/>
                      <wp:positionH relativeFrom="column">
                        <wp:posOffset>4692015</wp:posOffset>
                      </wp:positionH>
                      <wp:positionV relativeFrom="paragraph">
                        <wp:posOffset>2540</wp:posOffset>
                      </wp:positionV>
                      <wp:extent cx="809625" cy="824230"/>
                      <wp:effectExtent l="0" t="0" r="17145" b="17145"/>
                      <wp:wrapNone/>
                      <wp:docPr id="12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824230"/>
                              </a:xfrm>
                              <a:prstGeom prst="rect"/>
                              <a:solidFill>
                                <a:srgbClr val="66CCFF"/>
                              </a:solidFill>
                              <a:ln w="12700">
                                <a:solidFill>
                                  <a:srgbClr val="4F81BD"/>
                                </a:solidFill>
                              </a:ln>
                              <a:effectLst>
                                <a:outerShdw dist="24130" dir="2700000">
                                  <a:srgbClr val="243F60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66CCFF" strokecolor="#4F81BD" strokeweight="1pt" style="position:absolute;rotation:0;width:63.75pt;height:64.9pt;mso-wrap-distance-left:9pt;mso-wrap-distance-right:9pt;mso-wrap-distance-top:0pt;mso-wrap-distance-bottom:0pt;margin-top:0.2pt;mso-position-vertical-relative:text;margin-left:369.45pt;mso-position-horizontal-relative:text">
                      <v:shadow on="t" color="#243F60" offset="1.35pt,1.35pt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0" distL="114300" distR="97155" simplePos="0" locked="0" layoutInCell="1" allowOverlap="1" relativeHeight="8">
                      <wp:simplePos x="0" y="0"/>
                      <wp:positionH relativeFrom="column">
                        <wp:posOffset>2499995</wp:posOffset>
                      </wp:positionH>
                      <wp:positionV relativeFrom="paragraph">
                        <wp:posOffset>2540</wp:posOffset>
                      </wp:positionV>
                      <wp:extent cx="828675" cy="823595"/>
                      <wp:effectExtent l="0" t="0" r="17145" b="17145"/>
                      <wp:wrapNone/>
                      <wp:docPr id="13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823595"/>
                              </a:xfrm>
                              <a:prstGeom prst="rect"/>
                              <a:solidFill>
                                <a:srgbClr val="99FF33"/>
                              </a:solidFill>
                              <a:ln w="12700">
                                <a:solidFill>
                                  <a:srgbClr val="4F81BD"/>
                                </a:solidFill>
                              </a:ln>
                              <a:effectLst>
                                <a:outerShdw dist="24130" dir="2700000">
                                  <a:srgbClr val="243F60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99FF33" strokecolor="#4F81BD" strokeweight="1pt" style="position:absolute;rotation:0;width:65.25pt;height:64.85pt;mso-wrap-distance-left:9pt;mso-wrap-distance-right:9pt;mso-wrap-distance-top:0pt;mso-wrap-distance-bottom:0pt;margin-top:0.2pt;mso-position-vertical-relative:text;margin-left:196.85pt;mso-position-horizontal-relative:text">
                      <v:shadow on="t" color="#243F60" offset="1.35pt,1.35pt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Normal"/>
              <w:widowControl w:val="false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widowControl w:val="false"/>
              <w:spacing w:before="0" w:after="200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>
          <w:trHeight w:val="2673" w:hRule="atLeast"/>
        </w:trPr>
        <w:tc>
          <w:tcPr>
            <w:tcW w:w="98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99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Arial" w:hAnsi="Arial"/>
              </w:rPr>
            </w:pPr>
            <w:r>
              <w:rPr/>
              <w:drawing>
                <wp:inline distT="0" distB="0" distL="19050" distR="9525">
                  <wp:extent cx="2276475" cy="1628775"/>
                  <wp:effectExtent l="0" t="0" r="0" b="0"/>
                  <wp:docPr id="14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0"/>
          <w:szCs w:val="30"/>
        </w:rPr>
        <w:t xml:space="preserve">Структура доходов бюджета Николаевского муниципального образования </w:t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тыс. руб.</w:t>
      </w:r>
    </w:p>
    <w:tbl>
      <w:tblPr>
        <w:tblW w:w="9513" w:type="dxa"/>
        <w:jc w:val="left"/>
        <w:tblInd w:w="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000"/>
      </w:tblPr>
      <w:tblGrid>
        <w:gridCol w:w="5261"/>
        <w:gridCol w:w="2124"/>
        <w:gridCol w:w="2128"/>
      </w:tblGrid>
      <w:tr>
        <w:trPr>
          <w:trHeight w:val="322" w:hRule="atLeast"/>
        </w:trPr>
        <w:tc>
          <w:tcPr>
            <w:tcW w:w="526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212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 2022 года</w:t>
            </w:r>
          </w:p>
        </w:tc>
        <w:tc>
          <w:tcPr>
            <w:tcW w:w="21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Факт 2022 года</w:t>
            </w:r>
          </w:p>
        </w:tc>
      </w:tr>
      <w:tr>
        <w:trPr>
          <w:trHeight w:val="322" w:hRule="atLeast"/>
        </w:trPr>
        <w:tc>
          <w:tcPr>
            <w:tcW w:w="526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 всего: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1357,7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1989,3</w:t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доходы физических лиц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105,9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105,9</w:t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111,2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612,6</w:t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117,8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117,8</w:t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74,5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74,5</w:t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948,3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1078,5</w:t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 всего: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3,7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3,7</w:t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от арендной платы за имущество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поступающие в порядке возмещения расходов, понесенных от эксплуатации имущества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1,3</w:t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всего: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2635,7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2635,7</w:t>
            </w:r>
          </w:p>
        </w:tc>
      </w:tr>
      <w:tr>
        <w:trPr>
          <w:trHeight w:val="322" w:hRule="atLeast"/>
        </w:trPr>
        <w:tc>
          <w:tcPr>
            <w:tcW w:w="5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322" w:hRule="atLeast"/>
        </w:trPr>
        <w:tc>
          <w:tcPr>
            <w:tcW w:w="526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212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31,5</w:t>
            </w:r>
          </w:p>
        </w:tc>
        <w:tc>
          <w:tcPr>
            <w:tcW w:w="21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31,5</w:t>
            </w:r>
          </w:p>
        </w:tc>
      </w:tr>
      <w:tr>
        <w:trPr>
          <w:trHeight w:val="322" w:hRule="atLeast"/>
        </w:trPr>
        <w:tc>
          <w:tcPr>
            <w:tcW w:w="526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322" w:hRule="atLeast"/>
        </w:trPr>
        <w:tc>
          <w:tcPr>
            <w:tcW w:w="526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322" w:hRule="atLeast"/>
        </w:trPr>
        <w:tc>
          <w:tcPr>
            <w:tcW w:w="5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21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left="708" w:hanging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1698,0</w:t>
            </w:r>
          </w:p>
        </w:tc>
        <w:tc>
          <w:tcPr>
            <w:tcW w:w="2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1698,0</w:t>
            </w:r>
          </w:p>
        </w:tc>
      </w:tr>
      <w:tr>
        <w:trPr>
          <w:trHeight w:val="322" w:hRule="atLeast"/>
        </w:trPr>
        <w:tc>
          <w:tcPr>
            <w:tcW w:w="526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Субвенции бюджетам субъектов Российской Федерации и муниципальных образований.</w:t>
            </w:r>
          </w:p>
        </w:tc>
        <w:tc>
          <w:tcPr>
            <w:tcW w:w="212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left="708" w:hanging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105,4</w:t>
            </w:r>
          </w:p>
        </w:tc>
        <w:tc>
          <w:tcPr>
            <w:tcW w:w="21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105,4</w:t>
            </w:r>
          </w:p>
        </w:tc>
      </w:tr>
      <w:tr>
        <w:trPr>
          <w:trHeight w:val="322" w:hRule="atLeast"/>
        </w:trPr>
        <w:tc>
          <w:tcPr>
            <w:tcW w:w="526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left="708" w:hanging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322" w:hRule="atLeast"/>
        </w:trPr>
        <w:tc>
          <w:tcPr>
            <w:tcW w:w="5261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212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от негосударственных организаций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800,8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800,8</w:t>
            </w:r>
          </w:p>
        </w:tc>
      </w:tr>
      <w:tr>
        <w:trPr>
          <w:trHeight w:val="240" w:hRule="atLeast"/>
        </w:trPr>
        <w:tc>
          <w:tcPr>
            <w:tcW w:w="526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212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3997,1</w:t>
            </w:r>
          </w:p>
        </w:tc>
        <w:tc>
          <w:tcPr>
            <w:tcW w:w="2128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4628,7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в 2022 году составили – 4628,7 тыс. руб.</w:t>
      </w:r>
    </w:p>
    <w:p>
      <w:pPr>
        <w:pStyle w:val="Normal"/>
        <w:spacing w:lineRule="auto" w:line="240"/>
        <w:jc w:val="right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6105525" cy="1562100"/>
            <wp:effectExtent l="0" t="0" r="0" b="0"/>
            <wp:docPr id="15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Доходы бюджета Николаевского муниципального образования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расчете на 1 жителя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(численность населения Николаевского муниципального образования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на 01.01.2022г.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537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человек)      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</w:p>
    <w:tbl>
      <w:tblPr>
        <w:tblStyle w:val="a6"/>
        <w:tblW w:w="9923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6663"/>
        <w:gridCol w:w="3259"/>
      </w:tblGrid>
      <w:tr>
        <w:trPr/>
        <w:tc>
          <w:tcPr>
            <w:tcW w:w="6663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3259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b/>
                <w:sz w:val="28"/>
                <w:szCs w:val="28"/>
              </w:rPr>
              <w:t>2022 год отчет (руб.)</w:t>
            </w:r>
          </w:p>
        </w:tc>
      </w:tr>
      <w:tr>
        <w:trPr/>
        <w:tc>
          <w:tcPr>
            <w:tcW w:w="6663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b/>
                <w:bCs/>
                <w:sz w:val="28"/>
                <w:szCs w:val="28"/>
              </w:rPr>
              <w:t>Доходы всего, в том числе:</w:t>
            </w:r>
          </w:p>
        </w:tc>
        <w:tc>
          <w:tcPr>
            <w:tcW w:w="325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8619,0</w:t>
            </w:r>
          </w:p>
        </w:tc>
      </w:tr>
      <w:tr>
        <w:trPr/>
        <w:tc>
          <w:tcPr>
            <w:tcW w:w="6663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325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3711,0</w:t>
            </w:r>
          </w:p>
        </w:tc>
      </w:tr>
      <w:tr>
        <w:trPr/>
        <w:tc>
          <w:tcPr>
            <w:tcW w:w="6663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3259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4908,0</w:t>
            </w:r>
          </w:p>
        </w:tc>
      </w:tr>
    </w:tbl>
    <w:p>
      <w:pPr>
        <w:pStyle w:val="Normal"/>
        <w:spacing w:lineRule="auto" w:lin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>
      <w:pPr>
        <w:pStyle w:val="Normal"/>
        <w:spacing w:lineRule="auto" w:line="2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Основными бюджетообразующими доходами бюджета муниципального образования являются земельный налог, 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акцизы на нефтепродукты и единый сельскохозяйственный  налог.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19050" distR="8255">
            <wp:extent cx="6297295" cy="2173605"/>
            <wp:effectExtent l="0" t="0" r="0" b="0"/>
            <wp:docPr id="16" name="Рисунок 26" descr="https://avatars.mds.yandex.net/get-zen_doc/2419806/pub_5f27f30509f04e63c6a4a417_5f281b6907b3613170de23b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6" descr="https://avatars.mds.yandex.net/get-zen_doc/2419806/pub_5f27f30509f04e63c6a4a417_5f281b6907b3613170de23b2/scale_12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/>
        <w:drawing>
          <wp:inline distT="0" distB="0" distL="19050" distR="3175">
            <wp:extent cx="4377690" cy="2495550"/>
            <wp:effectExtent l="0" t="0" r="0" b="0"/>
            <wp:docPr id="17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303" t="27052" r="30182" b="24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9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19050" distR="6350">
            <wp:extent cx="6203950" cy="4410075"/>
            <wp:effectExtent l="0" t="0" r="0" b="0"/>
            <wp:docPr id="18" name="Рисунок 2" descr="C:\Users\fo10i\Desktop\1455099558_slaj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" descr="C:\Users\fo10i\Desktop\1455099558_slajd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val="en-US"/>
        </w:rPr>
      </w:pPr>
      <w:r>
        <w:rPr/>
        <w:drawing>
          <wp:inline distT="0" distB="0" distL="19050" distR="0">
            <wp:extent cx="6275705" cy="4184015"/>
            <wp:effectExtent l="0" t="0" r="0" b="0"/>
            <wp:docPr id="19" name="Рисунок 1" descr="https://www.tula.ru/activity/economics/city-budget/201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" descr="https://www.tula.ru/activity/economics/city-budget/2016/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63" t="6243" r="3733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705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Структура расходов бюджета Николаевского муниципального образования по разделам за 2022 год.</w:t>
        <w:tab/>
        <w:tab/>
        <w:tab/>
        <w:tab/>
        <w:tab/>
        <w:tab/>
        <w:tab/>
      </w:r>
      <w:r>
        <w:rPr>
          <w:rFonts w:ascii="Times New Roman" w:hAnsi="Times New Roman"/>
          <w:sz w:val="28"/>
          <w:szCs w:val="28"/>
        </w:rPr>
        <w:tab/>
        <w:tab/>
        <w:tab/>
        <w:tab/>
        <w:tab/>
        <w:tab/>
        <w:t xml:space="preserve">                                                    %</w:t>
      </w:r>
    </w:p>
    <w:tbl>
      <w:tblPr>
        <w:tblW w:w="9829" w:type="dxa"/>
        <w:jc w:val="left"/>
        <w:tblInd w:w="2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1134"/>
        <w:gridCol w:w="5341"/>
        <w:gridCol w:w="1653"/>
        <w:gridCol w:w="1700"/>
      </w:tblGrid>
      <w:tr>
        <w:trPr/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 года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 года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39,2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39, 2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2,2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2,2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39,1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39,1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19,2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19,2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</w:t>
            </w:r>
          </w:p>
        </w:tc>
        <w:tc>
          <w:tcPr>
            <w:tcW w:w="5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>
        <w:trPr/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5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6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0" distR="0">
            <wp:extent cx="5924550" cy="2590800"/>
            <wp:effectExtent l="0" t="0" r="0" b="0"/>
            <wp:docPr id="20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t>Структура расходов.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t>Расходы бюджета Николаевского муниципального образования по основным разделам на душу населения</w:t>
        <w:tab/>
        <w:tab/>
        <w:tab/>
        <w:tab/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руб.</w:t>
      </w:r>
    </w:p>
    <w:tbl>
      <w:tblPr>
        <w:tblW w:w="9781" w:type="dxa"/>
        <w:jc w:val="left"/>
        <w:tblInd w:w="2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1418"/>
        <w:gridCol w:w="5393"/>
        <w:gridCol w:w="1554"/>
        <w:gridCol w:w="1415"/>
      </w:tblGrid>
      <w:tr>
        <w:trPr/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5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 года</w:t>
            </w:r>
          </w:p>
        </w:tc>
        <w:tc>
          <w:tcPr>
            <w:tcW w:w="1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Факт 2022 года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5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2949,14</w:t>
            </w:r>
          </w:p>
        </w:tc>
        <w:tc>
          <w:tcPr>
            <w:tcW w:w="1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2943,55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1669,30</w:t>
            </w:r>
          </w:p>
        </w:tc>
        <w:tc>
          <w:tcPr>
            <w:tcW w:w="1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1669,30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5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14,90</w:t>
            </w:r>
          </w:p>
        </w:tc>
        <w:tc>
          <w:tcPr>
            <w:tcW w:w="1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14,9</w:t>
            </w:r>
          </w:p>
        </w:tc>
      </w:tr>
      <w:tr>
        <w:trPr/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53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5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8697,59</w:t>
            </w:r>
          </w:p>
        </w:tc>
        <w:tc>
          <w:tcPr>
            <w:tcW w:w="1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8686,4</w:t>
            </w:r>
          </w:p>
        </w:tc>
      </w:tr>
    </w:tbl>
    <w:p>
      <w:pPr>
        <w:pStyle w:val="Normal"/>
        <w:spacing w:lineRule="auto" w:line="240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drawing>
          <wp:inline distT="0" distB="0" distL="0" distR="0">
            <wp:extent cx="5810250" cy="3009900"/>
            <wp:effectExtent l="0" t="0" r="0" b="0"/>
            <wp:docPr id="21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sz w:val="28"/>
          <w:szCs w:val="28"/>
        </w:rPr>
      </w:pPr>
      <w:r>
        <w:rPr>
          <w:sz w:val="28"/>
          <w:szCs w:val="28"/>
        </w:rPr>
        <w:tab/>
        <w:tab/>
        <w:tab/>
        <w:tab/>
        <w:tab/>
      </w:r>
    </w:p>
    <w:p>
      <w:pPr>
        <w:pStyle w:val="Normal"/>
        <w:spacing w:lineRule="auto" w:line="240"/>
        <w:jc w:val="center"/>
        <w:rPr>
          <w:sz w:val="28"/>
          <w:szCs w:val="28"/>
        </w:rPr>
      </w:pPr>
      <w:r>
        <w:rPr/>
        <w:drawing>
          <wp:inline distT="0" distB="0" distL="19050" distR="6350">
            <wp:extent cx="6165850" cy="1087120"/>
            <wp:effectExtent l="0" t="0" r="0" b="0"/>
            <wp:docPr id="22" name="Рисунок 9" descr="https://sun9-28.userapi.com/LDiNDh_UuYr-jwt1NMYVbp3-d183xeCojfe6Ag/xcmpwa0vI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9" descr="https://sun9-28.userapi.com/LDiNDh_UuYr-jwt1NMYVbp3-d183xeCojfe6Ag/xcmpwa0vIwk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</w:p>
    <w:p>
      <w:pPr>
        <w:pStyle w:val="Normal"/>
        <w:spacing w:lineRule="auto" w:line="240"/>
        <w:ind w:left="2410" w:firstLine="709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Общий объем и структура расходов</w:t>
      </w:r>
    </w:p>
    <w:p>
      <w:pPr>
        <w:pStyle w:val="Normal"/>
        <w:spacing w:lineRule="auto" w:line="240"/>
        <w:ind w:left="4248" w:hanging="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                           тыс. руб.</w:t>
      </w:r>
    </w:p>
    <w:tbl>
      <w:tblPr>
        <w:tblW w:w="9639" w:type="dxa"/>
        <w:jc w:val="left"/>
        <w:tblInd w:w="25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4820"/>
        <w:gridCol w:w="1700"/>
        <w:gridCol w:w="1559"/>
        <w:gridCol w:w="1559"/>
      </w:tblGrid>
      <w:tr>
        <w:trPr/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План 2022 года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Факт 2022 года</w:t>
            </w:r>
          </w:p>
        </w:tc>
      </w:tr>
      <w:tr>
        <w:trPr>
          <w:trHeight w:val="1046" w:hRule="atLeast"/>
        </w:trPr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/>
              <w:drawing>
                <wp:inline distT="0" distB="6350" distL="0" distR="8890">
                  <wp:extent cx="600710" cy="508000"/>
                  <wp:effectExtent l="0" t="0" r="0" b="0"/>
                  <wp:docPr id="23" name="Рисунок 3" descr="https://cf.ppt-online.org/files/slide/l/LV2SFUnKdMtik8x6jq4BwAuNCWIzGZ3DJ5mblO/slid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3" descr="https://cf.ppt-online.org/files/slide/l/LV2SFUnKdMtik8x6jq4BwAuNCWIzGZ3DJ5mblO/slide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6914" t="18255" r="82652" b="69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1832,9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1829,9</w:t>
            </w:r>
          </w:p>
        </w:tc>
      </w:tr>
      <w:tr>
        <w:trPr/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/>
              <w:drawing>
                <wp:inline distT="0" distB="2540" distL="0" distR="8890">
                  <wp:extent cx="524510" cy="473710"/>
                  <wp:effectExtent l="0" t="0" r="0" b="0"/>
                  <wp:docPr id="24" name="Изображение2" descr="https://cf.ppt-online.org/files/slide/l/LV2SFUnKdMtik8x6jq4BwAuNCWIzGZ3DJ5mblO/slid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2" descr="https://cf.ppt-online.org/files/slide/l/LV2SFUnKdMtik8x6jq4BwAuNCWIzGZ3DJ5mblO/slide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7122" t="31613" r="84042" b="57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47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105,4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105,4</w:t>
            </w:r>
          </w:p>
        </w:tc>
      </w:tr>
      <w:tr>
        <w:trPr/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Calibri"/>
              </w:rPr>
            </w:pPr>
            <w:r>
              <w:rPr>
                <w:rFonts w:eastAsia="Calibri" w:ascii="Times New Roman" w:hAnsi="Times New Roman"/>
              </w:rPr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1825,4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1825,4</w:t>
            </w:r>
          </w:p>
        </w:tc>
      </w:tr>
      <w:tr>
        <w:trPr/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/>
              <w:object>
                <v:shape id="ole_rId18" style="width:45pt;height:42pt" o:ole="">
                  <v:imagedata r:id="rId19" o:title=""/>
                </v:shape>
                <o:OLEObject Type="Embed" ProgID="PBrush" ShapeID="ole_rId18" DrawAspect="Content" ObjectID="_1036856931" r:id="rId18"/>
              </w:objec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896,4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893,4</w:t>
            </w:r>
          </w:p>
        </w:tc>
      </w:tr>
      <w:tr>
        <w:trPr/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Образование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 w:eastAsia="Calibri"/>
              </w:rPr>
            </w:pPr>
            <w:r>
              <w:rPr/>
              <w:object>
                <v:shape id="ole_rId20" style="width:45pt;height:37.5pt" o:ole="">
                  <v:imagedata r:id="rId21" o:title=""/>
                </v:shape>
                <o:OLEObject Type="Embed" ProgID="PBrush" ShapeID="ole_rId20" DrawAspect="Content" ObjectID="_590644431" r:id="rId20"/>
              </w:objec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2,5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2,5</w:t>
            </w:r>
          </w:p>
        </w:tc>
      </w:tr>
      <w:tr>
        <w:trPr/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/>
              <w:object>
                <v:shape id="ole_rId22" style="width:45.75pt;height:36.75pt" o:ole="">
                  <v:imagedata r:id="rId23" o:title=""/>
                </v:shape>
                <o:OLEObject Type="Embed" ProgID="PBrush" ShapeID="ole_rId22" DrawAspect="Content" ObjectID="_492686253" r:id="rId22"/>
              </w:objec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8,0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8,0</w:t>
            </w:r>
          </w:p>
        </w:tc>
      </w:tr>
      <w:tr>
        <w:trPr/>
        <w:tc>
          <w:tcPr>
            <w:tcW w:w="4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4670,6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4664,6</w:t>
            </w:r>
          </w:p>
        </w:tc>
      </w:tr>
    </w:tbl>
    <w:p>
      <w:pPr>
        <w:pStyle w:val="Normal"/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ConsPlusNonformat"/>
        <w:widowControl/>
        <w:rPr>
          <w:rFonts w:ascii="Times New Roman" w:hAnsi="Times New Roman" w:cs="Times New Roman"/>
          <w:b/>
          <w:b/>
          <w:color w:val="000000" w:themeColor="text1"/>
          <w:sz w:val="32"/>
          <w:szCs w:val="32"/>
        </w:rPr>
      </w:pPr>
      <w:r>
        <w:rPr>
          <w:rFonts w:cs="Times New Roman" w:ascii="Times New Roman" w:hAnsi="Times New Roman"/>
          <w:b/>
          <w:color w:val="000000" w:themeColor="text1"/>
          <w:sz w:val="32"/>
          <w:szCs w:val="32"/>
        </w:rPr>
      </w:r>
    </w:p>
    <w:p>
      <w:pPr>
        <w:pStyle w:val="ConsPlusNonformat"/>
        <w:widowControl/>
        <w:jc w:val="center"/>
        <w:rPr>
          <w:rFonts w:ascii="Times New Roman" w:hAnsi="Times New Roman" w:cs="Times New Roman"/>
          <w:b/>
          <w:b/>
          <w:color w:val="000000" w:themeColor="text1"/>
          <w:sz w:val="32"/>
          <w:szCs w:val="32"/>
        </w:rPr>
      </w:pPr>
      <w:r>
        <w:rPr>
          <w:rFonts w:cs="Times New Roman" w:ascii="Times New Roman" w:hAnsi="Times New Roman"/>
          <w:b/>
          <w:color w:val="000000" w:themeColor="text1"/>
          <w:sz w:val="32"/>
          <w:szCs w:val="32"/>
        </w:rPr>
        <w:t>Исполнение муниципальных программ бюджета Николаевского</w:t>
      </w:r>
    </w:p>
    <w:p>
      <w:pPr>
        <w:pStyle w:val="ConsPlusNonformat"/>
        <w:widowControl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cs="Times New Roman" w:ascii="Times New Roman" w:hAnsi="Times New Roman"/>
          <w:b/>
          <w:color w:val="000000" w:themeColor="text1"/>
          <w:sz w:val="32"/>
          <w:szCs w:val="32"/>
        </w:rPr>
        <w:t xml:space="preserve"> </w:t>
      </w:r>
      <w:r>
        <w:rPr>
          <w:rFonts w:cs="Times New Roman" w:ascii="Times New Roman" w:hAnsi="Times New Roman"/>
          <w:b/>
          <w:color w:val="000000" w:themeColor="text1"/>
          <w:sz w:val="32"/>
          <w:szCs w:val="32"/>
        </w:rPr>
        <w:t>муниципального района  за 2022 год</w:t>
      </w:r>
    </w:p>
    <w:p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>(тыс. рублей)</w:t>
      </w:r>
    </w:p>
    <w:p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</w:r>
    </w:p>
    <w:p>
      <w:pPr>
        <w:pStyle w:val="ConsPlusNonformat"/>
        <w:widowControl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</w:r>
    </w:p>
    <w:tbl>
      <w:tblPr>
        <w:tblW w:w="9781" w:type="dxa"/>
        <w:jc w:val="left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5811"/>
        <w:gridCol w:w="1134"/>
        <w:gridCol w:w="1276"/>
        <w:gridCol w:w="1559"/>
      </w:tblGrid>
      <w:tr>
        <w:trPr>
          <w:trHeight w:val="1032" w:hRule="atLeast"/>
        </w:trPr>
        <w:tc>
          <w:tcPr>
            <w:tcW w:w="58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муниципальных программ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 2022 г.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 2022 г.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% исполнения за 2022 год</w:t>
            </w:r>
          </w:p>
        </w:tc>
      </w:tr>
      <w:tr>
        <w:trPr>
          <w:trHeight w:val="871" w:hRule="atLeast"/>
        </w:trPr>
        <w:tc>
          <w:tcPr>
            <w:tcW w:w="58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Муниципальная программа «Развитие Николаевского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1912,1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1909,1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99,8</w:t>
            </w:r>
          </w:p>
        </w:tc>
      </w:tr>
      <w:tr>
        <w:trPr>
          <w:trHeight w:val="369" w:hRule="atLeast"/>
        </w:trPr>
        <w:tc>
          <w:tcPr>
            <w:tcW w:w="58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1912,1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1909,1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99,8</w:t>
            </w:r>
          </w:p>
        </w:tc>
      </w:tr>
    </w:tbl>
    <w:p>
      <w:pPr>
        <w:pStyle w:val="Normal"/>
        <w:spacing w:lineRule="auto" w:line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Муниципальный долг в Николаевском муниципальном образовании по состоянию на 01.01.2023 г. – отсутствует.</w:t>
      </w:r>
    </w:p>
    <w:p>
      <w:pPr>
        <w:pStyle w:val="Normal"/>
        <w:tabs>
          <w:tab w:val="left" w:pos="1560" w:leader="none"/>
        </w:tabs>
        <w:rPr/>
      </w:pPr>
      <w:r>
        <w:rPr/>
      </w:r>
    </w:p>
    <w:p>
      <w:pPr>
        <w:pStyle w:val="Normal"/>
        <w:spacing w:lineRule="auto" w:line="24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firstLine="708"/>
        <w:jc w:val="right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635">
            <wp:extent cx="4533265" cy="1409700"/>
            <wp:effectExtent l="0" t="0" r="0" b="0"/>
            <wp:docPr id="25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firstLine="708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Контактная информация:</w:t>
      </w:r>
    </w:p>
    <w:p>
      <w:pPr>
        <w:pStyle w:val="Normal"/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Адрес:  413320, Саратовская область, Ивантеевский район с.  Николаевка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>График работы с 8-00 до 17-12, перерыв с 12-00 до 13-00.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 xml:space="preserve">Телефоны  (8 84579 5-44-21) 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Тел.5- 44-21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/>
          <w:color w:val="000000"/>
          <w:sz w:val="28"/>
          <w:szCs w:val="28"/>
        </w:rPr>
        <w:t xml:space="preserve">Глава Николаевского муниципального образования   Демидов А.А.                                             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Электронная почта: nikolaevkaadm2@yandex.ru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418" w:right="567" w:header="0" w:top="170" w:footer="0" w:bottom="17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ourier New"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(Web)" w:uiPriority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b3134"/>
    <w:pPr>
      <w:widowControl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eastAsia="en-US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151bb8"/>
    <w:rPr>
      <w:rFonts w:ascii="Tahoma" w:hAnsi="Tahoma" w:cs="Tahoma"/>
      <w:sz w:val="16"/>
      <w:szCs w:val="16"/>
      <w:lang w:eastAsia="en-US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nhideWhenUsed/>
    <w:qFormat/>
    <w:rsid w:val="00f51f39"/>
    <w:pPr>
      <w:spacing w:lineRule="auto" w:line="240" w:beforeAutospacing="1" w:afterAutospacing="1"/>
    </w:pPr>
    <w:rPr>
      <w:rFonts w:ascii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151bb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1298"/>
    <w:pPr>
      <w:spacing w:before="0" w:after="200"/>
      <w:ind w:left="720" w:hanging="0"/>
      <w:contextualSpacing/>
    </w:pPr>
    <w:rPr>
      <w:rFonts w:eastAsia="Calibri"/>
    </w:rPr>
  </w:style>
  <w:style w:type="paragraph" w:styleId="ConsPlusNonformat" w:customStyle="1">
    <w:name w:val="ConsPlusNonformat"/>
    <w:qFormat/>
    <w:rsid w:val="00ed42d0"/>
    <w:pPr>
      <w:widowControl w:val="false"/>
      <w:bidi w:val="0"/>
      <w:jc w:val="left"/>
    </w:pPr>
    <w:rPr>
      <w:rFonts w:ascii="Courier New" w:hAnsi="Courier New" w:cs="Courier New" w:eastAsia="Times New Roman"/>
      <w:color w:val="auto"/>
      <w:kern w:val="0"/>
      <w:sz w:val="22"/>
      <w:szCs w:val="20"/>
      <w:lang w:val="ru-RU" w:eastAsia="ru-RU" w:bidi="ar-SA"/>
    </w:rPr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99"/>
    <w:rsid w:val="007347c0"/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4">
    <w:name w:val="Medium Shading 1 Accent 4"/>
    <w:basedOn w:val="a1"/>
    <w:uiPriority w:val="63"/>
    <w:rsid w:val="00a042fa"/>
    <w:rPr>
      <w:rFonts w:asciiTheme="minorHAnsi" w:hAnsiTheme="minorHAnsi" w:eastAsiaTheme="minorEastAsia" w:cstheme="minorBidi"/>
      <w:lang w:val="en-US" w:eastAsia="en-US" w:bidi="en-US"/>
      <w:sz w:val="22"/>
      <w:szCs w:val="22"/>
    </w:rPr>
    <w:tblPr>
      <w:tblStyleRowBandSize w:val="1"/>
      <w:tblStyleColBandSize w:val="1"/>
      <w:tblInd w:w="0" w:type="dxa"/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8AB9" w:themeColor="accent4" w:sz="8" w:space="0"/>
          <w:left w:val="single" w:color="9F8AB9" w:themeColor="accent4" w:sz="8" w:space="0"/>
          <w:bottom w:val="single" w:color="9F8AB9" w:themeColor="accent4" w:sz="8" w:space="0"/>
          <w:right w:val="single" w:color="9F8AB9" w:themeColor="accent4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sz="6" w:space="0"/>
          <w:left w:val="single" w:color="9F8AB9" w:themeColor="accent4" w:sz="8" w:space="0"/>
          <w:bottom w:val="single" w:color="9F8AB9" w:themeColor="accent4" w:sz="8" w:space="0"/>
          <w:right w:val="single" w:color="9F8AB9" w:themeColor="accent4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chart" Target="charts/chart1.xml"/><Relationship Id="rId9" Type="http://schemas.openxmlformats.org/officeDocument/2006/relationships/image" Target="media/image7.jpeg"/><Relationship Id="rId10" Type="http://schemas.openxmlformats.org/officeDocument/2006/relationships/image" Target="media/image8.pn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chart" Target="charts/chart2.xml"/><Relationship Id="rId14" Type="http://schemas.openxmlformats.org/officeDocument/2006/relationships/chart" Target="charts/chart3.xml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oleObject" Target="embeddings/oleObject1.bin"/><Relationship Id="rId19" Type="http://schemas.openxmlformats.org/officeDocument/2006/relationships/image" Target="media/image14.emf"/><Relationship Id="rId20" Type="http://schemas.openxmlformats.org/officeDocument/2006/relationships/oleObject" Target="embeddings/oleObject2.bin"/><Relationship Id="rId21" Type="http://schemas.openxmlformats.org/officeDocument/2006/relationships/image" Target="media/image15.emf"/><Relationship Id="rId22" Type="http://schemas.openxmlformats.org/officeDocument/2006/relationships/oleObject" Target="embeddings/oleObject3.bin"/><Relationship Id="rId23" Type="http://schemas.openxmlformats.org/officeDocument/2006/relationships/image" Target="media/image16.emf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<Relationship Id="rId28" Type="http://schemas.openxmlformats.org/officeDocument/2006/relationships/customXml" Target="../customXml/item1.xml"/>
</Relationships>
</file>

<file path=word/charts/_rels/chart1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1.xlsx"/>
</Relationships>
</file>

<file path=word/charts/_rels/chart2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2.xlsx"/>
</Relationships>
</file>

<file path=word/charts/_rels/chart3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3.xlsx"/>
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view3D>
      <c:rotX val="15"/>
      <c:rotY val="0"/>
      <c:rAngAx val="0"/>
      <c:perspective val="30"/>
    </c:view3D>
    <c:floor>
      <c:spPr>
        <a:solidFill>
          <a:srgbClr val="d9d9d9"/>
        </a:solidFill>
        <a:ln>
          <a:noFill/>
        </a:ln>
      </c:spPr>
    </c:floor>
    <c:backWall>
      <c:spPr>
        <a:solidFill>
          <a:srgbClr val="d9d9d9"/>
        </a:solidFill>
        <a:ln>
          <a:noFill/>
        </a:ln>
      </c:spPr>
    </c:backWall>
    <c:plotArea>
      <c:pie3D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Доходы 2022г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explosion val="25"/>
          <c:dPt>
            <c:idx val="0"/>
            <c:spPr>
              <a:solidFill>
                <a:srgbClr val="4672a8"/>
              </a:solidFill>
              <a:ln>
                <a:noFill/>
              </a:ln>
            </c:spPr>
          </c:dPt>
          <c:dPt>
            <c:idx val="1"/>
            <c:spPr>
              <a:solidFill>
                <a:srgbClr val="ab4744"/>
              </a:solidFill>
              <a:ln>
                <a:noFill/>
              </a:ln>
            </c:spPr>
          </c:dPt>
          <c:dPt>
            <c:idx val="2"/>
            <c:spPr>
              <a:solidFill>
                <a:srgbClr val="8aa64f"/>
              </a:solidFill>
              <a:ln>
                <a:noFill/>
              </a:ln>
            </c:spPr>
          </c:dPt>
          <c:dPt>
            <c:idx val="3"/>
            <c:spPr>
              <a:solidFill>
                <a:srgbClr val="725990"/>
              </a:solidFill>
              <a:ln>
                <a:noFill/>
              </a:ln>
            </c:spPr>
          </c:dPt>
          <c:dPt>
            <c:idx val="4"/>
            <c:spPr>
              <a:solidFill>
                <a:srgbClr val="4299b0"/>
              </a:solidFill>
              <a:ln>
                <a:noFill/>
              </a:ln>
            </c:spPr>
          </c:dPt>
          <c:dPt>
            <c:idx val="5"/>
            <c:spPr>
              <a:solidFill>
                <a:srgbClr val="dc853e"/>
              </a:solidFill>
              <a:ln>
                <a:noFill/>
              </a:ln>
            </c:spPr>
          </c:dPt>
          <c:dPt>
            <c:idx val="6"/>
            <c:spPr>
              <a:solidFill>
                <a:srgbClr val="93a9ce"/>
              </a:solidFill>
              <a:ln>
                <a:noFill/>
              </a:ln>
            </c:spPr>
          </c:dPt>
          <c:dLbls>
            <c:dLbl>
              <c:idx val="0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1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2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3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4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5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6"/>
              <c:dLblPos val="bestFit"/>
              <c:showLegendKey val="0"/>
              <c:showVal val="0"/>
              <c:showCatName val="0"/>
              <c:showSerName val="0"/>
              <c:showPercent val="1"/>
            </c:dLbl>
            <c:dLblPos val="bestFit"/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7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Единый сельхоз налог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  <c:pt idx="6">
                  <c:v>Неналоговые доходы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7"/>
                <c:pt idx="0">
                  <c:v>0.569</c:v>
                </c:pt>
                <c:pt idx="1">
                  <c:v>0.023</c:v>
                </c:pt>
                <c:pt idx="2">
                  <c:v>0.132</c:v>
                </c:pt>
                <c:pt idx="3">
                  <c:v>0.026</c:v>
                </c:pt>
                <c:pt idx="4">
                  <c:v>0.016</c:v>
                </c:pt>
                <c:pt idx="5">
                  <c:v>0.233</c:v>
                </c:pt>
                <c:pt idx="6">
                  <c:v>0.001</c:v>
                </c:pt>
              </c:numCache>
            </c:numRef>
          </c:val>
        </c:ser>
      </c:pie3DChart>
      <c:spPr>
        <a:solidFill>
          <a:srgbClr val="d9d9d9"/>
        </a:solidFill>
        <a:ln>
          <a:noFill/>
        </a:ln>
      </c:spPr>
    </c:plotArea>
    <c:legend>
      <c:layout>
        <c:manualLayout>
          <c:xMode val="edge"/>
          <c:yMode val="edge"/>
          <c:x val="0.63525"/>
          <c:y val="0.0433333333333333"/>
        </c:manualLayout>
      </c:layout>
      <c:spPr>
        <a:noFill/>
        <a:ln>
          <a:noFill/>
        </a:ln>
      </c:spPr>
    </c:legend>
    <c:plotVisOnly val="1"/>
    <c:dispBlanksAs val="zero"/>
  </c:chart>
  <c:spPr>
    <a:solidFill>
      <a:srgbClr val="ebf1de"/>
    </a:solidFill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view3D>
      <c:rotX val="15"/>
      <c:rotY val="20"/>
      <c:rAngAx val="1"/>
      <c:perspective val="30"/>
    </c:view3D>
    <c:floor>
      <c:spPr>
        <a:solidFill>
          <a:srgbClr val="c0c0c0"/>
        </a:solidFill>
        <a:ln w="3240">
          <a:solidFill>
            <a:srgbClr val="000000"/>
          </a:solidFill>
          <a:round/>
        </a:ln>
      </c:spPr>
    </c:floor>
    <c:backWall>
      <c:spPr>
        <a:solidFill>
          <a:srgbClr val="c0c0c0"/>
        </a:solidFill>
        <a:ln w="12600">
          <a:solidFill>
            <a:srgbClr val="808080"/>
          </a:solidFill>
          <a:round/>
        </a:ln>
      </c:spPr>
    </c:backWall>
    <c:plotArea>
      <c:bar3D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2022 г</c:v>
                </c:pt>
                <c:pt idx="1">
                  <c:v>Факт 2022г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2"/>
                <c:pt idx="0">
                  <c:v>39.2</c:v>
                </c:pt>
                <c:pt idx="1">
                  <c:v>39.2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2022 г</c:v>
                </c:pt>
                <c:pt idx="1">
                  <c:v>Факт 2022г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2"/>
                <c:pt idx="0">
                  <c:v>2.2</c:v>
                </c:pt>
                <c:pt idx="1">
                  <c:v>2.2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ccff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2022 г</c:v>
                </c:pt>
                <c:pt idx="1">
                  <c:v>Факт 2022г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2"/>
                <c:pt idx="0">
                  <c:v>1</c:v>
                </c:pt>
                <c:pt idx="1">
                  <c:v/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660066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2022 г</c:v>
                </c:pt>
                <c:pt idx="1">
                  <c:v>Факт 2022г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2"/>
                <c:pt idx="0">
                  <c:v>19.2</c:v>
                </c:pt>
                <c:pt idx="1">
                  <c:v>19.2</c:v>
                </c:pt>
              </c:numCache>
            </c:numRef>
          </c:val>
        </c:ser>
        <c:gapWidth val="150"/>
        <c:shape val="box"/>
        <c:axId val="81727284"/>
        <c:axId val="73430219"/>
        <c:axId val="0"/>
      </c:bar3DChart>
      <c:catAx>
        <c:axId val="81727284"/>
        <c:scaling>
          <c:orientation val="minMax"/>
        </c:scaling>
        <c:delete val="0"/>
        <c:axPos val="b"/>
        <c:numFmt formatCode="MM/DD/YYYY" sourceLinked="1"/>
        <c:majorTickMark val="out"/>
        <c:minorTickMark val="none"/>
        <c:tickLblPos val="low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799" spc="-1" strike="noStrike">
                <a:solidFill>
                  <a:srgbClr val="000000"/>
                </a:solidFill>
                <a:latin typeface="Arial Cyr"/>
                <a:ea typeface="Arial Cyr"/>
              </a:defRPr>
            </a:pPr>
          </a:p>
        </c:txPr>
        <c:crossAx val="73430219"/>
        <c:crosses val="autoZero"/>
        <c:auto val="1"/>
        <c:lblAlgn val="ctr"/>
        <c:lblOffset val="100"/>
      </c:catAx>
      <c:valAx>
        <c:axId val="73430219"/>
        <c:scaling>
          <c:orientation val="minMax"/>
        </c:scaling>
        <c:delete val="0"/>
        <c:axPos val="l"/>
        <c:majorGridlines>
          <c:spPr>
            <a:ln w="3240">
              <a:solidFill>
                <a:srgbClr val="000000"/>
              </a:solidFill>
              <a:round/>
            </a:ln>
          </c:spPr>
        </c:majorGridlines>
        <c:numFmt formatCode="0.0" sourceLinked="0"/>
        <c:majorTickMark val="out"/>
        <c:minorTickMark val="none"/>
        <c:tickLblPos val="nextTo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799" spc="-1" strike="noStrike">
                <a:solidFill>
                  <a:srgbClr val="000000"/>
                </a:solidFill>
                <a:latin typeface="Arial Cyr"/>
                <a:ea typeface="Arial Cyr"/>
              </a:defRPr>
            </a:pPr>
          </a:p>
        </c:txPr>
        <c:crossAx val="81727284"/>
        <c:crosses val="autoZero"/>
      </c:valAx>
      <c:spPr>
        <a:solidFill>
          <a:srgbClr val="c0c0c0"/>
        </a:solidFill>
        <a:ln w="12600">
          <a:solidFill>
            <a:srgbClr val="808080"/>
          </a:solidFill>
          <a:round/>
        </a:ln>
      </c:spPr>
    </c:plotArea>
    <c:legend>
      <c:legendPos val="r"/>
      <c:overlay val="0"/>
      <c:spPr>
        <a:noFill/>
        <a:ln w="3240">
          <a:solidFill>
            <a:srgbClr val="000000"/>
          </a:solidFill>
          <a:round/>
        </a:ln>
      </c:spPr>
    </c:legend>
    <c:plotVisOnly val="1"/>
    <c:dispBlanksAs val="gap"/>
  </c:chart>
  <c:spPr>
    <a:noFill/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view3D>
      <c:rotX val="15"/>
      <c:rotY val="20"/>
      <c:rAngAx val="1"/>
      <c:perspective val="30"/>
    </c:view3D>
    <c:floor>
      <c:spPr>
        <a:solidFill>
          <a:srgbClr val="c0c0c0"/>
        </a:solidFill>
        <a:ln w="3240">
          <a:solidFill>
            <a:srgbClr val="000000"/>
          </a:solidFill>
          <a:round/>
        </a:ln>
      </c:spPr>
    </c:floor>
    <c:backWall>
      <c:spPr>
        <a:solidFill>
          <a:srgbClr val="00ffff"/>
        </a:solidFill>
        <a:ln w="12600">
          <a:solidFill>
            <a:srgbClr val="808080"/>
          </a:solidFill>
          <a:round/>
        </a:ln>
      </c:spPr>
    </c:backWall>
    <c:plotArea>
      <c:bar3D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ff8080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2022 г</c:v>
                </c:pt>
                <c:pt idx="1">
                  <c:v>Факт 2022г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2"/>
                <c:pt idx="0">
                  <c:v>2949.14</c:v>
                </c:pt>
                <c:pt idx="1">
                  <c:v>2943.55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2022 г</c:v>
                </c:pt>
                <c:pt idx="1">
                  <c:v>Факт 2022г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2"/>
                <c:pt idx="0">
                  <c:v>1669.3</c:v>
                </c:pt>
                <c:pt idx="1">
                  <c:v>1669.3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2022 г</c:v>
                </c:pt>
                <c:pt idx="1">
                  <c:v>Факт 2022г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2"/>
                <c:pt idx="0">
                  <c:v>14.9</c:v>
                </c:pt>
                <c:pt idx="1">
                  <c:v>14.9</c:v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cccc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2022 г</c:v>
                </c:pt>
                <c:pt idx="1">
                  <c:v>Факт 2022г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2"/>
                <c:pt idx="0">
                  <c:v>8697.59</c:v>
                </c:pt>
                <c:pt idx="1">
                  <c:v>8686.4</c:v>
                </c:pt>
              </c:numCache>
            </c:numRef>
          </c:val>
        </c:ser>
        <c:gapWidth val="150"/>
        <c:shape val="box"/>
        <c:axId val="86074539"/>
        <c:axId val="50328742"/>
        <c:axId val="0"/>
      </c:bar3DChart>
      <c:catAx>
        <c:axId val="86074539"/>
        <c:scaling>
          <c:orientation val="minMax"/>
        </c:scaling>
        <c:delete val="0"/>
        <c:axPos val="b"/>
        <c:numFmt formatCode="MM/DD/YYYY" sourceLinked="1"/>
        <c:majorTickMark val="out"/>
        <c:minorTickMark val="none"/>
        <c:tickLblPos val="low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997" spc="-1" strike="noStrike">
                <a:solidFill>
                  <a:srgbClr val="000000"/>
                </a:solidFill>
                <a:latin typeface="Arial Cyr"/>
                <a:ea typeface="Arial Cyr"/>
              </a:defRPr>
            </a:pPr>
          </a:p>
        </c:txPr>
        <c:crossAx val="50328742"/>
        <c:crosses val="autoZero"/>
        <c:auto val="1"/>
        <c:lblAlgn val="ctr"/>
        <c:lblOffset val="100"/>
      </c:catAx>
      <c:valAx>
        <c:axId val="50328742"/>
        <c:scaling>
          <c:orientation val="minMax"/>
        </c:scaling>
        <c:delete val="0"/>
        <c:axPos val="l"/>
        <c:majorGridlines>
          <c:spPr>
            <a:ln w="3240">
              <a:solidFill>
                <a:srgbClr val="000000"/>
              </a:solidFill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997" spc="-1" strike="noStrike">
                <a:solidFill>
                  <a:srgbClr val="000000"/>
                </a:solidFill>
                <a:latin typeface="Arial Cyr"/>
                <a:ea typeface="Arial Cyr"/>
              </a:defRPr>
            </a:pPr>
          </a:p>
        </c:txPr>
        <c:crossAx val="86074539"/>
        <c:crosses val="autoZero"/>
      </c:valAx>
      <c:spPr>
        <a:solidFill>
          <a:srgbClr val="00ffff"/>
        </a:solidFill>
        <a:ln w="12600">
          <a:solidFill>
            <a:srgbClr val="808080"/>
          </a:solidFill>
          <a:round/>
        </a:ln>
      </c:spPr>
    </c:plotArea>
    <c:legend>
      <c:layout>
        <c:manualLayout>
          <c:xMode val="edge"/>
          <c:yMode val="edge"/>
          <c:x val="0.694125"/>
          <c:y val="0.166"/>
        </c:manualLayout>
      </c:layout>
      <c:spPr>
        <a:noFill/>
        <a:ln w="3240">
          <a:solidFill>
            <a:srgbClr val="000000"/>
          </a:solidFill>
          <a:round/>
        </a:ln>
      </c:spPr>
    </c:legend>
    <c:plotVisOnly val="1"/>
    <c:dispBlanksAs val="gap"/>
  </c:chart>
  <c:spPr>
    <a:noFill/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884485-2824-41E8-BAEF-AE39DFCA5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771</TotalTime>
  <Application>LibreOffice/5.4.3.2$Windows_X86_64 LibreOffice_project/92a7159f7e4af62137622921e809f8546db437e5</Application>
  <Pages>11</Pages>
  <Words>773</Words>
  <Characters>6404</Characters>
  <CharactersWithSpaces>7163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2015-04-16T11:24:00Z</dcterms:created>
  <dc:creator>пользователь</dc:creator>
  <dc:description/>
  <dc:language>ru-RU</dc:language>
  <cp:lastModifiedBy/>
  <cp:lastPrinted>2016-04-11T08:16:00Z</cp:lastPrinted>
  <dcterms:modified xsi:type="dcterms:W3CDTF">2023-05-23T17:44:49Z</dcterms:modified>
  <cp:revision>147</cp:revision>
  <dc:subject/>
  <dc:title>Уважаемые жители Ивантеевского муниципального района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