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5"/>
        <w:jc w:val="center"/>
        <w:rPr/>
      </w:pPr>
      <w:r>
        <w:rPr/>
        <w:drawing>
          <wp:inline distT="0" distB="0" distL="0" distR="0">
            <wp:extent cx="790575" cy="10001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ИВАНТЕЕВСКОГО МУНИЦИПАЛЬНОГО РАЙОНА 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САРАТОВСКОЙ ОБЛАСТИ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/>
      </w:pPr>
      <w:r>
        <w:rPr>
          <w:rFonts w:ascii="Times New Roman" w:hAnsi="Times New Roman"/>
          <w:b/>
          <w:sz w:val="28"/>
        </w:rPr>
        <w:t>ПОСТАНОВЛЕНИЕ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с. Ивантеевка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0" w:firstLine="426"/>
        <w:outlineLvl w:val="4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rFonts w:ascii="FreeSerif" w:hAnsi="FreeSerif"/>
          <w:b/>
          <w:b/>
          <w:bCs/>
          <w:sz w:val="28"/>
          <w:szCs w:val="28"/>
          <w:u w:val="single"/>
        </w:rPr>
      </w:pPr>
      <w:r>
        <w:rPr>
          <w:rFonts w:ascii="FreeSerif" w:hAnsi="FreeSerif"/>
          <w:b/>
          <w:bCs/>
          <w:sz w:val="28"/>
          <w:szCs w:val="28"/>
          <w:u w:val="single"/>
        </w:rPr>
        <w:t>От 17.07.2023 №280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46"/>
        <w:ind w:left="0" w:right="4393" w:hanging="0"/>
        <w:jc w:val="both"/>
        <w:rPr>
          <w:u w:val="none"/>
        </w:rPr>
      </w:pPr>
      <w:r>
        <w:rPr>
          <w:u w:val="none"/>
        </w:rPr>
      </w:r>
    </w:p>
    <w:p>
      <w:pPr>
        <w:pStyle w:val="Style46"/>
        <w:ind w:left="0" w:right="3259" w:hanging="0"/>
        <w:jc w:val="both"/>
        <w:rPr>
          <w:u w:val="none"/>
        </w:rPr>
      </w:pPr>
      <w:r>
        <w:rPr>
          <w:u w:val="none"/>
        </w:rPr>
        <w:t>О внесении изменений в постановление № 762 от 30.12.2019 г. "Об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>
      <w:pPr>
        <w:pStyle w:val="Style46"/>
        <w:ind w:left="0" w:right="0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ind w:left="0" w:right="0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/>
      </w:pPr>
      <w:r>
        <w:rPr>
          <w:b w:val="false"/>
          <w:u w:val="none"/>
        </w:rPr>
        <w:t>1. Внести изменения в  Постановление от 30.12.2019 № 762 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12.01.2022 № 4,№ 75 от 16.02.2022 г.,№257 от 16.06.2022г, № 410 от 26.09.2022г, № 16 от 18.01.2023г, №17 от 18.01.2023).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2. Паспорт и приложения № 1, 2, 3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3.Контроль за исполнением настоящего постановления оставляю за собой.</w:t>
      </w:r>
    </w:p>
    <w:p>
      <w:pPr>
        <w:pStyle w:val="Style46"/>
        <w:ind w:left="705" w:right="0" w:hanging="0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ind w:left="0" w:right="0" w:hanging="0"/>
        <w:jc w:val="both"/>
        <w:rPr>
          <w:u w:val="none"/>
        </w:rPr>
      </w:pPr>
      <w:r>
        <w:rPr>
          <w:u w:val="none"/>
        </w:rPr>
        <w:t xml:space="preserve">Глава Ивантеевского </w:t>
      </w:r>
    </w:p>
    <w:p>
      <w:pPr>
        <w:pStyle w:val="Style46"/>
        <w:ind w:left="705" w:right="0" w:hanging="705"/>
        <w:jc w:val="both"/>
        <w:rPr/>
      </w:pPr>
      <w:r>
        <w:rPr>
          <w:u w:val="none"/>
        </w:rPr>
        <w:t>муниципального района                                                              В.</w:t>
      </w:r>
      <w:r>
        <w:rPr>
          <w:b/>
          <w:sz w:val="28"/>
          <w:u w:val="none"/>
        </w:rPr>
        <w:t>В. Басов</w:t>
      </w:r>
    </w:p>
    <w:p>
      <w:pPr>
        <w:pStyle w:val="NoSpacing1"/>
        <w:jc w:val="center"/>
        <w:rPr>
          <w:sz w:val="20"/>
        </w:rPr>
      </w:pPr>
      <w:r>
        <w:rPr>
          <w:sz w:val="20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 xml:space="preserve">ПАСПОРТ 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МУНИЦИПАЛЬНОЙ ПРОГРАММЫ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tbl>
      <w:tblPr>
        <w:tblW w:w="102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194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5039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некоторых категорий работников муниципальных учреждений;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повышение общего уровня благоустройства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защита жизни и здоровья граждан и имущества от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инвестиционной и эстетической привлекательности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соблюдению чистоты и порядка на территории Ивантеевского муниципального образовании;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- </w:t>
            </w:r>
            <w:r>
              <w:rPr>
                <w:color w:val="000000"/>
              </w:rPr>
              <w:t>снижение риска пожаров до социально приемлемого уровня;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сохранение и развитие культурного пространства муниципального образования;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  <w:p>
            <w:pPr>
              <w:pStyle w:val="NoSpacing1"/>
              <w:widowControl w:val="false"/>
              <w:tabs>
                <w:tab w:val="clear" w:pos="708"/>
                <w:tab w:val="left" w:pos="601" w:leader="none"/>
              </w:tabs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 – 2025 годы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99661,1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12123,0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32165,9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–26768,1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8972,2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год- 9020,7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34338,7 тыс. рублей,</w:t>
              <w:br/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17433,0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 xml:space="preserve">–64299,6 тыс. рублей,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10721,1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11234,1тыс.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8936,6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9020,7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31,7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тыс. рублей,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2020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2021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2023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2024 год — 31,7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 60131,9 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«Организация первичных мер пожарной безопасности» – 185,7 тыс. руб.;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 - 233,6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 - 100тыс.руб.;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автомобильных дорог общего пользования местного значения в границах населенных пунктов Ивантеевского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- 38904,1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6 «Повышение качества водоснабжения и водоотведения» - 105,8 тыс. рублей.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поселения.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формирование культурной среды, отвечающей растущим потребностям личности и общества;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- </w:t>
            </w:r>
            <w:r>
              <w:rPr>
                <w:color w:val="000000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>
                <w:color w:val="000000"/>
              </w:rPr>
              <w:t>- улучшение качества предоставления коммунальных услуг населению.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контроля над реализацией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областным законодательством</w:t>
            </w:r>
          </w:p>
        </w:tc>
      </w:tr>
    </w:tbl>
    <w:p>
      <w:pPr>
        <w:pStyle w:val="NoSpacing1"/>
        <w:ind w:left="0" w:right="0" w:firstLine="567"/>
        <w:jc w:val="both"/>
        <w:rPr/>
      </w:pPr>
      <w:r>
        <w:rPr/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организация сбора и вывоза бытовых отходов и мусора;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>организация благоустройства и озеленения территории поселения;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благоустройство и содержание мест захоронения. </w:t>
      </w:r>
    </w:p>
    <w:p>
      <w:pPr>
        <w:pStyle w:val="NoSpacing1"/>
        <w:ind w:left="0" w:right="0" w:firstLine="567"/>
        <w:jc w:val="both"/>
        <w:rPr/>
      </w:pPr>
      <w:r>
        <w:rPr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Характеристика сферы реализации программы, описание основных проблем</w:t>
      </w:r>
    </w:p>
    <w:p>
      <w:pPr>
        <w:pStyle w:val="NoSpacing1"/>
        <w:ind w:left="0" w:right="0"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1"/>
        <w:ind w:left="0" w:right="0"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>
      <w:pPr>
        <w:pStyle w:val="NoSpacing1"/>
        <w:ind w:left="0" w:right="0" w:firstLine="709"/>
        <w:jc w:val="both"/>
        <w:rPr/>
      </w:pPr>
      <w:r>
        <w:rPr/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>
      <w:pPr>
        <w:pStyle w:val="NoSpacing1"/>
        <w:ind w:left="0" w:right="0" w:firstLine="709"/>
        <w:jc w:val="both"/>
        <w:rPr/>
      </w:pPr>
      <w:r>
        <w:rPr/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>
      <w:pPr>
        <w:pStyle w:val="NoSpacing1"/>
        <w:ind w:left="0" w:right="0" w:firstLine="709"/>
        <w:jc w:val="both"/>
        <w:rPr/>
      </w:pPr>
      <w:r>
        <w:rPr/>
        <w:t xml:space="preserve">Содержание мест захоронения является полномочием муниципального образования. 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Ивантеевского муниципального района расположены 31 многоквартирный жилой дом.</w:t>
      </w:r>
    </w:p>
    <w:p>
      <w:pPr>
        <w:pStyle w:val="NoSpacing1"/>
        <w:ind w:left="0" w:right="0" w:firstLine="709"/>
        <w:jc w:val="both"/>
        <w:rPr/>
      </w:pPr>
      <w:r>
        <w:rPr/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>
      <w:pPr>
        <w:pStyle w:val="NoSpacing1"/>
        <w:ind w:left="0" w:right="0" w:firstLine="709"/>
        <w:jc w:val="both"/>
        <w:rPr/>
      </w:pPr>
      <w:r>
        <w:rPr/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>
      <w:pPr>
        <w:pStyle w:val="NoSpacing1"/>
        <w:ind w:left="0" w:right="0" w:firstLine="709"/>
        <w:jc w:val="both"/>
        <w:rPr/>
      </w:pPr>
      <w:r>
        <w:rPr/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1"/>
        <w:widowControl w:val="false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чистоты, порядка и благоустройства на территории Ивантеевского муниципального образования;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1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оплаты труда некоторых категорий работников муниципальных учреждений;</w:t>
      </w:r>
    </w:p>
    <w:p>
      <w:pPr>
        <w:pStyle w:val="NoSpacing1"/>
        <w:numPr>
          <w:ilvl w:val="0"/>
          <w:numId w:val="3"/>
        </w:numPr>
        <w:jc w:val="both"/>
        <w:rPr/>
      </w:pPr>
      <w:r>
        <w:rPr/>
        <w:t>повышение общего уровня благоустройства населенных пунктов.</w:t>
      </w:r>
    </w:p>
    <w:p>
      <w:pPr>
        <w:pStyle w:val="NoSpacing1"/>
        <w:ind w:left="0" w:right="0"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>
      <w:pPr>
        <w:pStyle w:val="NoSpacing1"/>
        <w:numPr>
          <w:ilvl w:val="0"/>
          <w:numId w:val="2"/>
        </w:numPr>
        <w:jc w:val="both"/>
        <w:rPr/>
      </w:pPr>
      <w:r>
        <w:rPr/>
      </w:r>
    </w:p>
    <w:p>
      <w:pPr>
        <w:pStyle w:val="ListParagraph1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>
      <w:pPr>
        <w:pStyle w:val="ListParagraph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защита жизни и здоровья граждан и имущества от пожаров.</w:t>
      </w:r>
    </w:p>
    <w:p>
      <w:pPr>
        <w:pStyle w:val="NoSpacing1"/>
        <w:ind w:left="0" w:right="0"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>
      <w:pPr>
        <w:pStyle w:val="NoSpacing1"/>
        <w:numPr>
          <w:ilvl w:val="0"/>
          <w:numId w:val="2"/>
        </w:numPr>
        <w:jc w:val="both"/>
        <w:rPr/>
      </w:pPr>
      <w:r>
        <w:rPr/>
      </w:r>
    </w:p>
    <w:p>
      <w:pPr>
        <w:pStyle w:val="ListParagraph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Spacing1"/>
        <w:ind w:left="0" w:right="0"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>
      <w:pPr>
        <w:pStyle w:val="NoSpacing1"/>
        <w:ind w:left="0" w:right="0"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>
      <w:pPr>
        <w:pStyle w:val="NoSpacing1"/>
        <w:ind w:left="0" w:right="0" w:firstLine="567"/>
        <w:jc w:val="center"/>
        <w:rPr/>
      </w:pPr>
      <w:r>
        <w:rPr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государственного регулирования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государственного регулирования в сфере реализации муниципальной программы не предусматриваются.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5. Внесение изменений и дополнений в Программу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hanging="0"/>
        <w:jc w:val="center"/>
        <w:rPr>
          <w:b/>
          <w:b/>
        </w:rPr>
      </w:pPr>
      <w:r>
        <w:rPr>
          <w:b/>
        </w:rPr>
        <w:t>Раздел 6. Характеристика Подпрограмм муниципальной Программы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Подпрограмма 1 «Благоустройство»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Паспорт Подпрограммы</w:t>
      </w:r>
    </w:p>
    <w:tbl>
      <w:tblPr>
        <w:tblW w:w="1028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195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Программа 1 «Благоустройство»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116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повышение общего уровня благоустройства населенных пунктов;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учреждениями, собственниками земельных участков при решении вопросовблагоустройства 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соблюдению чистоты и порядка на территории Ивантеевского муниципального образовании;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  <w:p>
            <w:pPr>
              <w:pStyle w:val="NoSpacing1"/>
              <w:widowControl w:val="false"/>
              <w:tabs>
                <w:tab w:val="clear" w:pos="708"/>
                <w:tab w:val="left" w:pos="601" w:leader="none"/>
              </w:tabs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 – 2025 годы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60131,9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–9324,6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7095,9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год- 7079,2тыс.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2871,7 тыс. рублей,</w:t>
              <w:br/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1500,0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 56237,4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9324,6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7060,3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7079,2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31,7</w:t>
            </w:r>
            <w:r>
              <w:rPr>
                <w:rFonts w:ascii="Times New Roman" w:hAnsi="Times New Roman"/>
                <w:color w:val="C9211E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2020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2021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2023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2024 год — 31,7тыс.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поселения.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формирование культурной среды, отвечающей растущим потребностям личности и общества;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контроля над реализацией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областным законодательством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>
      <w:pPr>
        <w:pStyle w:val="NoSpacing1"/>
        <w:ind w:left="0" w:right="0"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27"/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39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44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повышение уровня благоустройства дворовых территорий;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30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25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создание новых и обустройство существующих детских площадок малыми архитектурными формами.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программы, описание основных проблем</w:t>
      </w:r>
    </w:p>
    <w:p>
      <w:pPr>
        <w:pStyle w:val="NoSpacing1"/>
        <w:ind w:left="0" w:right="0"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1"/>
        <w:ind w:left="0" w:right="0"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>
      <w:pPr>
        <w:pStyle w:val="NoSpacing1"/>
        <w:ind w:left="0" w:right="0" w:firstLine="709"/>
        <w:jc w:val="both"/>
        <w:rPr/>
      </w:pPr>
      <w:r>
        <w:rPr/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>
      <w:pPr>
        <w:pStyle w:val="NoSpacing1"/>
        <w:ind w:left="0" w:right="0" w:firstLine="709"/>
        <w:jc w:val="both"/>
        <w:rPr/>
      </w:pPr>
      <w:r>
        <w:rPr/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>
      <w:pPr>
        <w:pStyle w:val="NoSpacing1"/>
        <w:ind w:left="0" w:right="0" w:firstLine="709"/>
        <w:jc w:val="both"/>
        <w:rPr/>
      </w:pPr>
      <w:r>
        <w:rPr/>
        <w:t xml:space="preserve">Содержание мест захоронения является полномочием муниципального образования. 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Ивантеевского муниципального образования расположены 31 многоквартирный жилой дом.</w:t>
      </w:r>
    </w:p>
    <w:p>
      <w:pPr>
        <w:pStyle w:val="NoSpacing1"/>
        <w:ind w:left="0" w:right="0" w:firstLine="709"/>
        <w:jc w:val="both"/>
        <w:rPr/>
      </w:pPr>
      <w:r>
        <w:rPr/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>
      <w:pPr>
        <w:pStyle w:val="NoSpacing1"/>
        <w:ind w:left="0" w:right="0" w:firstLine="709"/>
        <w:jc w:val="both"/>
        <w:rPr/>
      </w:pPr>
      <w:r>
        <w:rPr/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>
      <w:pPr>
        <w:pStyle w:val="NoSpacing1"/>
        <w:ind w:left="0" w:right="0" w:firstLine="709"/>
        <w:jc w:val="both"/>
        <w:rPr/>
      </w:pPr>
      <w:r>
        <w:rPr/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ListParagraph1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осуществляется за счет средств бюджета Ивантеевского муниципального образования.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финансирования составляет 60131,9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–9324,6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7095,9 тыс.рублей;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год- 7079,2тыс.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>
      <w:pPr>
        <w:pStyle w:val="Normal"/>
        <w:widowControl w:val="false"/>
        <w:spacing w:lineRule="auto" w:line="240" w:before="0" w:after="0"/>
        <w:ind w:left="0" w:right="0"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2871,7 тыс. рублей,</w:t>
        <w:br/>
        <w:t>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1500,0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3,9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>
        <w:rPr>
          <w:rFonts w:ascii="Times New Roman" w:hAnsi="Times New Roman"/>
          <w:sz w:val="24"/>
        </w:rPr>
        <w:t>– 56237,4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9324,6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7060,3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7079,2 тыс. рублей;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  <w:u w:val="none"/>
        </w:rPr>
        <w:t xml:space="preserve">- </w:t>
      </w:r>
      <w:r>
        <w:rPr>
          <w:rFonts w:ascii="Times New Roman" w:hAnsi="Times New Roman"/>
          <w:color w:val="000000"/>
          <w:sz w:val="24"/>
          <w:u w:val="none"/>
        </w:rPr>
        <w:t>31,7</w:t>
      </w:r>
      <w:r>
        <w:rPr>
          <w:rFonts w:ascii="Times New Roman" w:hAnsi="Times New Roman"/>
          <w:color w:val="C9211E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>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2020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2021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none"/>
        </w:rPr>
        <w:t>2022 год —</w:t>
      </w:r>
      <w:r>
        <w:rPr>
          <w:rFonts w:ascii="Times New Roman" w:hAnsi="Times New Roman"/>
          <w:color w:val="000000"/>
          <w:sz w:val="24"/>
          <w:u w:val="none"/>
        </w:rPr>
        <w:t xml:space="preserve"> 0</w:t>
      </w:r>
      <w:r>
        <w:rPr>
          <w:rFonts w:ascii="Times New Roman" w:hAnsi="Times New Roman"/>
          <w:sz w:val="24"/>
          <w:u w:val="none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2023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2024 год — 31,7тыс.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Подпрограмма 2 «Обеспечение первичных мер пожарной безопасности»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Паспорт Подпрограммы</w:t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2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«Обеспечение первичных мер пожарной»</w:t>
            </w:r>
          </w:p>
        </w:tc>
      </w:tr>
      <w:tr>
        <w:trPr>
          <w:trHeight w:val="175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Бюджетный кодекс Российской Федерации;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21.12.1994 N 69-ФЗ "О пожарной безопасности";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района, Отдел по делам ГО и ЧС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снижение риска пожаров до социально приемлемого уровня.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Задачами 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защита жизни и здоровья граждан и имущества от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своевременное оповещение граждан о пожаре.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2020 - 2025 годы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объем средств, направленных на реализацию подпрограммных мероприятий, составляет 185,7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73,5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185,7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–73,5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разработку и реализацию мер пожарной безопасности для муниципального образования;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разработку и организацию выполнения муниципальных программ по вопросам обеспечения пожарной безопасности;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обустройство минерализованной полосы вдоль населенных пунктов и кладбищ.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Целями Подпрограммы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снижение риска пожаров до социально приемлемого уровня.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рамках Подпрограммы должны быть решены основные задачи: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защита жизни и здоровья граждан и имущества от пожаров;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своевременное оповещение граждан о пожаре.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осуществляется за счет средств бюджета Ивантеевского муниципального образования. 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color w:val="000000"/>
          <w:sz w:val="24"/>
        </w:rPr>
        <w:t>Общий объем средств, направленных на реализацию подпрограммных мероприятий, составляет 185,7 тыс. руб.,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185,7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–73,5 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>Подпрограмма 3</w:t>
      </w:r>
      <w:r>
        <w:rPr>
          <w:rFonts w:ascii="Times New Roman" w:hAnsi="Times New Roman"/>
          <w:b/>
          <w:sz w:val="24"/>
        </w:rPr>
        <w:t>«Осуществление мероприятий по организации культурного досуга жителей муниципального образования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Паспорт подпрограммы</w:t>
      </w:r>
    </w:p>
    <w:tbl>
      <w:tblPr>
        <w:tblW w:w="9493" w:type="dxa"/>
        <w:jc w:val="left"/>
        <w:tblInd w:w="-10" w:type="dxa"/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2504"/>
        <w:gridCol w:w="6988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2020-2025 годы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Заказчик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Разработчик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области.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</w:rPr>
              <w:t>Подпрограммы</w:t>
            </w:r>
            <w:r>
              <w:rPr/>
              <w:t xml:space="preserve"> - бюджет Ивантеевского муниципального образования.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Общий объем финансирования </w:t>
            </w:r>
            <w:r>
              <w:rPr>
                <w:color w:val="000000"/>
              </w:rPr>
              <w:t>Подпрограммы</w:t>
            </w:r>
            <w:r>
              <w:rPr/>
              <w:t>составляет 233,6 тыс. рублей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–23,9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233,6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23,9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Задачи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Ожидаемые </w:t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>
        <w:trPr>
          <w:trHeight w:val="69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Координаторы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Заинтересованные</w:t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15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Контроль </w:t>
              <w:br/>
              <w:t xml:space="preserve">за исполнением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ind w:left="0" w:right="0" w:firstLine="567"/>
        <w:jc w:val="both"/>
        <w:rPr/>
      </w:pPr>
      <w:r>
        <w:rPr/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</w:rPr>
        <w:t>Подпрограммы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Целью П</w:t>
      </w:r>
      <w:r>
        <w:rPr>
          <w:rFonts w:ascii="Times New Roman" w:hAnsi="Times New Roman"/>
          <w:color w:val="000000"/>
          <w:sz w:val="24"/>
        </w:rPr>
        <w:t>одпрограммы</w:t>
      </w:r>
      <w:r>
        <w:rPr>
          <w:rFonts w:ascii="Times New Roman" w:hAnsi="Times New Roman"/>
          <w:sz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  <w:r>
        <w:rPr>
          <w:rFonts w:ascii="Times New Roman" w:hAnsi="Times New Roman"/>
          <w:b/>
          <w:sz w:val="24"/>
        </w:rPr>
        <w:t xml:space="preserve">,сроки и этапы реализации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>должны стать: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>Финансовое обеспечение реализациимуниципальной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before="0" w:after="20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>осуществляется за счет средств бюджета Ивантеевского муниципального образования.</w:t>
      </w:r>
    </w:p>
    <w:p>
      <w:pPr>
        <w:pStyle w:val="NoSpacing1"/>
        <w:jc w:val="both"/>
        <w:rPr/>
      </w:pPr>
      <w:r>
        <w:rPr/>
        <w:t xml:space="preserve">Общий объем финансирования </w:t>
      </w:r>
      <w:r>
        <w:rPr>
          <w:color w:val="000000"/>
        </w:rPr>
        <w:t>Подпрограммы</w:t>
      </w:r>
      <w:r>
        <w:rPr/>
        <w:t>составляет 233,6 тыс. рублей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23,9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233,6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23,9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Spacing1"/>
        <w:ind w:left="0" w:right="0" w:firstLine="142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89"/>
        <w:gridCol w:w="6955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>
          <w:trHeight w:val="2158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подготовки спортсменов в областные соревнования и всероссийские;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2025 годы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100тыс.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100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</w:rPr>
        <w:t>«Развитие физической культуры, спорта, туризма и молодежной политики».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плоскостных  спортсооружений – 4 (в т.ч футбольных полей – 1);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инфраструктуры сферы физической культуры и спорта;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Подпрограммы будет осуществляться путем ежегодного сопоставления: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Подпрограммыосуществляется за счет средств бюджета муниципального образования.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100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100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567"/>
        <w:jc w:val="center"/>
        <w:rPr/>
      </w:pPr>
      <w:r>
        <w:rPr>
          <w:b/>
        </w:rPr>
        <w:t>Подпрограмма 5 «Развитие автомобильных дорог общего пользования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муниципального образования»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jc w:val="left"/>
        <w:tblInd w:w="-10" w:type="dxa"/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2504"/>
        <w:gridCol w:w="7911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Название </w:t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Подпрограмма «Развитие автомобильных дорог общего пользования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местного значения в границах населенных пунктов Ивантеевского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муниципального образования».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Срок реализации </w:t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2022-2025 годы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Подпрограммы областной и местный  бюджеты.Общий объем финансирования Программы составляет 38904,1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>
              <w:rPr>
                <w:rFonts w:eastAsia="Noto Serif CJK SC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17230</w:t>
            </w:r>
            <w:r>
              <w:rPr>
                <w:rFonts w:ascii="Times New Roman" w:hAnsi="Times New Roman"/>
                <w:sz w:val="24"/>
              </w:rPr>
              <w:t>,3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6540,8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–1696,3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31467,0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-ремонт внутрипоселковых дорог общего пользования в границах Ивантеевского МО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Ожидаемые </w:t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1.Характеристика текущего состояния</w:t>
      </w:r>
    </w:p>
    <w:p>
      <w:pPr>
        <w:pStyle w:val="NoSpacing1"/>
        <w:ind w:left="0" w:right="0" w:firstLine="567"/>
        <w:jc w:val="both"/>
        <w:rPr/>
      </w:pPr>
      <w:r>
        <w:rPr/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NoSpacing1"/>
        <w:ind w:left="0" w:right="0" w:firstLine="567"/>
        <w:jc w:val="both"/>
        <w:rPr/>
      </w:pPr>
      <w:r>
        <w:rPr/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>
      <w:pPr>
        <w:pStyle w:val="NoSpacing1"/>
        <w:ind w:left="0" w:right="0" w:firstLine="567"/>
        <w:jc w:val="both"/>
        <w:rPr/>
      </w:pPr>
      <w:r>
        <w:rPr/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 xml:space="preserve">Раздел 5. Прогноз конечных результатов Подпрограммы, сроки и этапы реализации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>
      <w:pPr>
        <w:pStyle w:val="ConsPlusNormal2"/>
        <w:ind w:left="0" w:righ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областного и местного бюджетов.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38904,1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18018,9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</w:t>
      </w:r>
      <w:r>
        <w:rPr>
          <w:rFonts w:eastAsia="Noto Serif CJK SC" w:cs="Noto Sans Devanagari" w:ascii="Times New Roman" w:hAnsi="Times New Roman"/>
          <w:color w:val="000000"/>
          <w:spacing w:val="0"/>
          <w:kern w:val="0"/>
          <w:sz w:val="24"/>
          <w:szCs w:val="20"/>
          <w:lang w:val="ru-RU" w:eastAsia="zh-CN" w:bidi="hi-IN"/>
        </w:rPr>
        <w:t>7230,3</w:t>
      </w:r>
      <w:r>
        <w:rPr>
          <w:rFonts w:ascii="Times New Roman" w:hAnsi="Times New Roman"/>
          <w:sz w:val="24"/>
        </w:rPr>
        <w:t>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6540,8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1696,3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15534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7. Перечень улично-дорожной сети внутрипоселковых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4272"/>
        <w:gridCol w:w="3119"/>
      </w:tblGrid>
      <w:tr>
        <w:trPr>
          <w:trHeight w:val="300" w:hRule="atLeast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а/д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протяженность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2,23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0,36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Виталия Корябкина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Гунина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1,12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0,74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0,46</w:t>
            </w:r>
          </w:p>
        </w:tc>
      </w:tr>
      <w:tr>
        <w:trPr>
          <w:trHeight w:val="2235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микрорайон (ул. Международная, ул. Демократическая, ул. Кузьмина, ул. Дружбы, ул. Жаркова, ул. Парковая, ул. Дремова,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</w:tbl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одпрограмма 6 "Повышение качества водоснабжения и водоотведения"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89"/>
        <w:gridCol w:w="6955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"Повышение качества водоснабжения и водоотведения"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>
          <w:trHeight w:val="2158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проведение мероприятий по сокращению потерь воды в системах водоснабжения.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105,8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105,8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105,8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105,8 тыс. рублей;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Подпрограмма«Повышение качества водоснабжения и водоотведения" является приоритетным направлением  развития водохозяйственного комплекса в долгосрочной перстпективе совершенствования технологии подготовки питьевой воды, реконструкция водопроводных сооружений, внедрение новых технологий водоочистки.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технологического оборудования для улучшения качества воды.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мероприятий по сокращению потерь воды в системах водоснабжения.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3. </w:t>
      </w:r>
      <w:r>
        <w:rPr>
          <w:rFonts w:ascii="Times New Roman" w:hAnsi="Times New Roman"/>
          <w:b/>
          <w:color w:val="000000"/>
          <w:sz w:val="24"/>
        </w:rPr>
        <w:t>Сроки реализации подпрограммы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Описание мероприятий и целевых показателей их выполнения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направлено на сокращение потерь воды и обеспечение населения бесперебойным водоснабжением.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 основных мероприятий подпрограммы представлен в приложении N 2 к муниципальной программе.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105,8 тыс. рублей: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105,8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105,8 тыс. рублей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105,8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И.о. управляющей делами администрации</w:t>
      </w:r>
    </w:p>
    <w:p>
      <w:pPr>
        <w:sectPr>
          <w:type w:val="nextPage"/>
          <w:pgSz w:w="11906" w:h="16838"/>
          <w:pgMar w:left="1134" w:right="707" w:header="0" w:top="426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Ивантеевского муниципального района     </w:t>
        <w:tab/>
        <w:tab/>
        <w:tab/>
        <w:tab/>
        <w:t>И.В. Афанасьева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1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tabs>
          <w:tab w:val="clear" w:pos="708"/>
          <w:tab w:val="left" w:pos="4784" w:leader="none"/>
        </w:tabs>
        <w:spacing w:lineRule="auto" w:line="204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</w:rPr>
        <w:t xml:space="preserve">«Комплексное развитие Ивантеевского муниципального образования Ивантеевского муниципального </w:t>
      </w:r>
      <w:r>
        <w:rPr>
          <w:rFonts w:ascii="Times New Roman" w:hAnsi="Times New Roman"/>
          <w:b/>
          <w:color w:val="000000"/>
          <w:sz w:val="24"/>
        </w:rPr>
        <w:t>района»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18934" w:type="dxa"/>
        <w:jc w:val="left"/>
        <w:tblInd w:w="-29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2"/>
        <w:gridCol w:w="68"/>
        <w:gridCol w:w="4635"/>
        <w:gridCol w:w="1320"/>
        <w:gridCol w:w="1251"/>
        <w:gridCol w:w="1242"/>
        <w:gridCol w:w="1314"/>
        <w:gridCol w:w="1244"/>
        <w:gridCol w:w="1337"/>
        <w:gridCol w:w="1307"/>
        <w:gridCol w:w="1511"/>
        <w:gridCol w:w="3320"/>
      </w:tblGrid>
      <w:tr>
        <w:trPr>
          <w:trHeight w:val="20" w:hRule="atLeast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измере-ния</w:t>
            </w:r>
          </w:p>
        </w:tc>
        <w:tc>
          <w:tcPr>
            <w:tcW w:w="7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70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год 2019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(оценка)**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14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70" w:leader="none"/>
              </w:tabs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фонарей на энергосберегающие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97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55" w:hRule="atLeast"/>
        </w:trPr>
        <w:tc>
          <w:tcPr>
            <w:tcW w:w="14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14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культурно-досуговых мероприятий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14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14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Spacing1"/>
              <w:widowControl w:val="false"/>
              <w:ind w:left="0" w:right="0" w:firstLine="567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Ивантеевскогомуниципального образования»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Spacing1"/>
              <w:widowControl w:val="false"/>
              <w:ind w:left="0" w:right="0"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Протяженность отремонтированных автомобильных дорог общего пользования местного значениявграницахнаселенных пунктов сельских поселений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2,32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82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outlineLvl w:val="1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68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61" w:type="dxa"/>
            <w:gridSpan w:val="9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65"/>
              <w:gridCol w:w="1297"/>
              <w:gridCol w:w="1238"/>
              <w:gridCol w:w="1241"/>
              <w:gridCol w:w="1303"/>
              <w:gridCol w:w="1248"/>
              <w:gridCol w:w="1354"/>
              <w:gridCol w:w="1300"/>
              <w:gridCol w:w="1499"/>
            </w:tblGrid>
            <w:tr>
              <w:trPr/>
              <w:tc>
                <w:tcPr>
                  <w:tcW w:w="1504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Spacing1"/>
                    <w:widowControl w:val="false"/>
                    <w:ind w:left="0" w:right="0" w:firstLine="567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Подпрограмма 6 </w:t>
                  </w:r>
                  <w:r>
                    <w:rPr>
                      <w:b/>
                      <w:sz w:val="24"/>
                    </w:rPr>
                    <w:t>"Повышение качества водоснабжения и водоотведения"</w:t>
                  </w:r>
                </w:p>
              </w:tc>
            </w:tr>
            <w:tr>
              <w:trPr/>
              <w:tc>
                <w:tcPr>
                  <w:tcW w:w="456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  <w:t>6</w:t>
                  </w:r>
                </w:p>
                <w:p>
                  <w:pPr>
                    <w:pStyle w:val="Style32"/>
                    <w:widowControl w:val="false"/>
                    <w:spacing w:lineRule="auto" w:line="276" w:before="0" w:after="200"/>
                    <w:ind w:left="567" w:right="0" w:hanging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км.</w:t>
                  </w:r>
                </w:p>
              </w:tc>
              <w:tc>
                <w:tcPr>
                  <w:tcW w:w="123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  <w:t>0</w:t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3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2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2,8</w:t>
                  </w:r>
                </w:p>
              </w:tc>
              <w:tc>
                <w:tcPr>
                  <w:tcW w:w="130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4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</w:tr>
          </w:tbl>
          <w:p>
            <w:pPr>
              <w:pStyle w:val="NoSpacing1"/>
              <w:widowControl w:val="false"/>
              <w:numPr>
                <w:ilvl w:val="0"/>
                <w:numId w:val="0"/>
              </w:numPr>
              <w:spacing w:lineRule="auto" w:line="204"/>
              <w:ind w:left="0" w:right="0" w:firstLine="567"/>
              <w:jc w:val="center"/>
              <w:outlineLvl w:val="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320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61" w:type="dxa"/>
            <w:gridSpan w:val="9"/>
            <w:tcBorders/>
          </w:tcPr>
          <w:p>
            <w:pPr>
              <w:pStyle w:val="NoSpacing1"/>
              <w:widowControl w:val="false"/>
              <w:numPr>
                <w:ilvl w:val="0"/>
                <w:numId w:val="0"/>
              </w:numPr>
              <w:spacing w:lineRule="auto" w:line="204"/>
              <w:ind w:left="0" w:right="0" w:firstLine="567"/>
              <w:jc w:val="center"/>
              <w:outlineLvl w:val="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61" w:type="dxa"/>
            <w:gridSpan w:val="9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75" w:hRule="atLeast"/>
        </w:trPr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61" w:type="dxa"/>
            <w:gridSpan w:val="9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32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И.о. управляющей делами администрации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</w:t>
        <w:tab/>
        <w:tab/>
        <w:tab/>
        <w:t xml:space="preserve">                                            </w:t>
        <w:tab/>
        <w:t xml:space="preserve">                                                И.В. Афанасьева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2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left="0" w:right="0" w:firstLine="698"/>
        <w:jc w:val="center"/>
        <w:rPr/>
      </w:pPr>
      <w:r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color w:val="000000"/>
          <w:sz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sz w:val="26"/>
        </w:rPr>
        <w:t>»</w:t>
      </w:r>
    </w:p>
    <w:tbl>
      <w:tblPr>
        <w:tblW w:w="1516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69"/>
        <w:gridCol w:w="2126"/>
        <w:gridCol w:w="849"/>
        <w:gridCol w:w="992"/>
        <w:gridCol w:w="2411"/>
        <w:gridCol w:w="2998"/>
        <w:gridCol w:w="2953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экологической обстановки в населенных пунктов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более благоприятного социального климата внутри Ивантеевского МО, развитие экологической грамотности у населения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оказываемых услуг.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 муниципального образования»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Осуществление дорожной деятельности 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отношении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в границах населенных пунктов сельских поселений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1516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69"/>
        <w:gridCol w:w="2126"/>
        <w:gridCol w:w="849"/>
        <w:gridCol w:w="992"/>
        <w:gridCol w:w="2411"/>
        <w:gridCol w:w="2998"/>
        <w:gridCol w:w="2953"/>
      </w:tblGrid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 6  « Повышение качества водоснабжения и водоотведения»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"Ремонт и развитие водопроводной 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бесперебойным водоснабжением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объема потерь воды и увеличение уровня износов объектов водоснаобжнния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объема потери воды и ремонт уличных водопроводных сетей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правляющей делами администрации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</w:t>
        <w:tab/>
        <w:tab/>
        <w:tab/>
        <w:tab/>
        <w:tab/>
        <w:tab/>
        <w:t xml:space="preserve">                </w:t>
      </w:r>
      <w:r>
        <w:rPr>
          <w:rFonts w:eastAsia="Noto Serif CJK SC" w:cs="Noto Sans Devanagari" w:ascii="Times New Roman" w:hAnsi="Times New Roman"/>
          <w:b/>
          <w:color w:val="000000"/>
          <w:spacing w:val="0"/>
          <w:kern w:val="0"/>
          <w:sz w:val="28"/>
          <w:szCs w:val="28"/>
          <w:lang w:val="ru-RU" w:eastAsia="zh-CN" w:bidi="hi-IN"/>
        </w:rPr>
        <w:t>И.В. Афанасьева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3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tabs>
          <w:tab w:val="clear" w:pos="708"/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456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1689"/>
        <w:gridCol w:w="1365"/>
        <w:gridCol w:w="961"/>
        <w:gridCol w:w="60"/>
        <w:gridCol w:w="901"/>
        <w:gridCol w:w="284"/>
        <w:gridCol w:w="689"/>
        <w:gridCol w:w="961"/>
        <w:gridCol w:w="962"/>
        <w:gridCol w:w="1019"/>
        <w:gridCol w:w="961"/>
        <w:gridCol w:w="1014"/>
      </w:tblGrid>
      <w:tr>
        <w:trPr/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6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FreeSerif" w:hAnsi="FreeSerif"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2024 г</w:t>
            </w:r>
            <w:r>
              <w:rPr>
                <w:rFonts w:ascii="FreeSerif" w:hAnsi="FreeSerif"/>
                <w:b/>
                <w:i w:val="false"/>
                <w:sz w:val="18"/>
                <w:szCs w:val="18"/>
              </w:rPr>
              <w:t>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FreeSerif" w:hAnsi="FreeSerif"/>
                <w:b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2025 год</w:t>
            </w:r>
          </w:p>
        </w:tc>
      </w:tr>
      <w:tr>
        <w:trPr/>
        <w:tc>
          <w:tcPr>
            <w:tcW w:w="13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705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6860,1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1 068,0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1 164,7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1327,4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left="170" w:right="0" w:hanging="0"/>
              <w:jc w:val="left"/>
              <w:rPr>
                <w:rFonts w:ascii="FreeSerif" w:hAnsi="FreeSerif"/>
                <w:b/>
                <w:b/>
                <w:bCs/>
                <w:sz w:val="20"/>
                <w:szCs w:val="20"/>
              </w:rPr>
            </w:pPr>
            <w:r>
              <w:rPr>
                <w:rFonts w:ascii="FreeSerif" w:hAnsi="FreeSerif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FreeSerif" w:hAnsi="FreeSerif"/>
                <w:b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564,0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928,1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3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(Фед+обл)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508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1247,8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85,6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2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2449,2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</w:tr>
      <w:tr>
        <w:trPr>
          <w:trHeight w:val="39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348,6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39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44724,0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7207,7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354,8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5663,2</w:t>
            </w:r>
          </w:p>
        </w:tc>
      </w:tr>
      <w:tr>
        <w:trPr/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704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7" w:leader="none"/>
                <w:tab w:val="center" w:pos="743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333,6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129,9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85,5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86,0</w:t>
            </w:r>
          </w:p>
        </w:tc>
      </w:tr>
      <w:tr>
        <w:trPr>
          <w:trHeight w:val="334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42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703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45089,0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7337,6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5440,3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>
        <w:trPr>
          <w:trHeight w:val="375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62" w:leader="none"/>
              </w:tabs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62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6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56237,4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9324,6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7060,3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>
        <w:trPr/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1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60131,9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9324,6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7095,9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>
        <w:trPr/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</w:rPr>
              <w:t>Подпрограмма 2 «Обеспечение первичных мер пожарной безопасности»</w:t>
            </w:r>
          </w:p>
        </w:tc>
      </w:tr>
      <w:tr>
        <w:trPr>
          <w:trHeight w:val="1211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185,7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>
        <w:trPr>
          <w:trHeight w:val="512" w:hRule="atLeast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185,7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>
        <w:trPr/>
        <w:tc>
          <w:tcPr>
            <w:tcW w:w="13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224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233,6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23,9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>
        <w:trPr>
          <w:trHeight w:val="1224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>
        <w:trPr>
          <w:trHeight w:val="616" w:hRule="atLeast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233,6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23,9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>
        <w:trPr/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0" w:firstLine="5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>
        <w:trPr>
          <w:trHeight w:val="1043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физкультурных и спортивно-массовых мероприятий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>
        <w:trPr>
          <w:trHeight w:val="1043" w:hRule="atLeast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>
        <w:trPr>
          <w:trHeight w:val="1043" w:hRule="atLeast"/>
        </w:trPr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 муниципального образования»</w:t>
            </w:r>
          </w:p>
        </w:tc>
      </w:tr>
      <w:tr>
        <w:trPr>
          <w:trHeight w:val="52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Осуществление дорожной деятельности 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отношении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поселений"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31467,0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6540,8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2085,9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</w:tc>
      </w:tr>
      <w:tr>
        <w:trPr>
          <w:trHeight w:val="26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FreeSerif" w:hAnsi="FreeSerif"/>
                <w:sz w:val="20"/>
                <w:szCs w:val="20"/>
              </w:rPr>
            </w:pPr>
            <w:r>
              <w:rPr>
                <w:rFonts w:ascii="FreeSerif" w:hAnsi="FreeSerif"/>
                <w:sz w:val="20"/>
                <w:szCs w:val="20"/>
              </w:rPr>
              <w:t>МБУ «Ивантеевское»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896,3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896,3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1043" w:hRule="atLeast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38904,1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17230,3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1043" w:hRule="atLeast"/>
        </w:trPr>
        <w:tc>
          <w:tcPr>
            <w:tcW w:w="145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tbl>
            <w:tblPr>
              <w:tblW w:w="145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64"/>
              <w:gridCol w:w="1800"/>
              <w:gridCol w:w="1245"/>
              <w:gridCol w:w="1096"/>
              <w:gridCol w:w="945"/>
              <w:gridCol w:w="931"/>
              <w:gridCol w:w="1093"/>
              <w:gridCol w:w="1381"/>
              <w:gridCol w:w="1306"/>
              <w:gridCol w:w="1257"/>
            </w:tblGrid>
            <w:tr>
              <w:trPr>
                <w:trHeight w:val="1043" w:hRule="atLeast"/>
              </w:trPr>
              <w:tc>
                <w:tcPr>
                  <w:tcW w:w="1451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>
              <w:trPr>
                <w:trHeight w:val="1043" w:hRule="atLeast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ind w:left="170" w:right="0" w:hanging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>
                  <w:pPr>
                    <w:pStyle w:val="Normal"/>
                    <w:widowControl w:val="false"/>
                    <w:spacing w:lineRule="auto" w:line="276" w:before="0" w:after="200"/>
                    <w:ind w:left="397" w:right="0" w:hanging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Администрация Ивантеевского муниципального образования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Noto Serif CJK SC" w:cs="Noto Sans Devanagari"/>
                      <w:b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</w:pPr>
                  <w:r>
                    <w:rPr>
                      <w:rFonts w:eastAsia="Noto Serif CJK SC" w:cs="Noto Sans Devanagari" w:ascii="Times New Roman" w:hAnsi="Times New Roman"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  <w:t>105,8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Noto Serif CJK SC" w:cs="Noto Sans Devanagari"/>
                      <w:b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</w:pPr>
                  <w:r>
                    <w:rPr>
                      <w:rFonts w:eastAsia="Noto Serif CJK SC" w:cs="Noto Sans Devanagari" w:ascii="Times New Roman" w:hAnsi="Times New Roman"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  <w:t>105,8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>
              <w:trPr>
                <w:trHeight w:val="1043" w:hRule="atLeast"/>
              </w:trPr>
              <w:tc>
                <w:tcPr>
                  <w:tcW w:w="5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Noto Serif CJK SC" w:cs="Noto Sans Devanagari"/>
                      <w:b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</w:pPr>
                  <w:r>
                    <w:rPr>
                      <w:rFonts w:eastAsia="Noto Serif CJK SC" w:cs="Noto Sans Devanagari" w:ascii="Times New Roman" w:hAnsi="Times New Roman"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  <w:t>105,8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Noto Serif CJK SC" w:cs="Noto Sans Devanagari"/>
                      <w:b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</w:pPr>
                  <w:r>
                    <w:rPr>
                      <w:rFonts w:eastAsia="Noto Serif CJK SC" w:cs="Noto Sans Devanagari" w:ascii="Times New Roman" w:hAnsi="Times New Roman"/>
                      <w:b/>
                      <w:color w:val="000000"/>
                      <w:spacing w:val="0"/>
                      <w:kern w:val="0"/>
                      <w:sz w:val="20"/>
                      <w:szCs w:val="20"/>
                      <w:lang w:val="ru-RU" w:eastAsia="zh-CN" w:bidi="hi-IN"/>
                    </w:rPr>
                    <w:t>105,8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34338,7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6" w:hRule="atLeast"/>
        </w:trPr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64299,6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11234,1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8936,6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  <w:tr>
        <w:trPr/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3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99661,1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oto Serif CJK SC" w:cs="Noto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Noto Serif CJK SC" w:cs="Noto Sans Devanagari" w:ascii="Times New Roman" w:hAnsi="Times New Roman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26768,1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8972,2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И. о. управляющей делами администрации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                        </w:t>
        <w:tab/>
        <w:tab/>
        <w:tab/>
        <w:tab/>
        <w:tab/>
        <w:tab/>
        <w:tab/>
        <w:tab/>
        <w:tab/>
        <w:t xml:space="preserve">            </w:t>
      </w:r>
      <w:r>
        <w:rPr>
          <w:rFonts w:eastAsia="Noto Serif CJK SC" w:cs="Noto Sans Devanagari" w:ascii="Times New Roman" w:hAnsi="Times New Roman"/>
          <w:b/>
          <w:color w:val="000000"/>
          <w:spacing w:val="0"/>
          <w:kern w:val="0"/>
          <w:sz w:val="24"/>
          <w:szCs w:val="20"/>
          <w:lang w:val="ru-RU" w:eastAsia="zh-CN" w:bidi="hi-IN"/>
        </w:rPr>
        <w:t>И.В. Афанасьева</w:t>
      </w:r>
    </w:p>
    <w:sectPr>
      <w:type w:val="nextPage"/>
      <w:pgSz w:orient="landscape" w:w="16838" w:h="11906"/>
      <w:pgMar w:left="993" w:right="962" w:header="0" w:top="567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erif">
    <w:charset w:val="01"/>
    <w:family w:val="roman"/>
    <w:pitch w:val="variable"/>
  </w:font>
  <w:font w:name="Symbol">
    <w:charset w:val="01"/>
    <w:family w:val="roman"/>
    <w:pitch w:val="variable"/>
  </w:font>
  <w:font w:name="YS Tex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Noto Sans Devanagar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6_ch"/>
    <w:uiPriority w:val="9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Normal"/>
    <w:next w:val="Normal"/>
    <w:link w:val="Style_55_ch"/>
    <w:uiPriority w:val="9"/>
    <w:qFormat/>
    <w:pPr>
      <w:keepNext w:val="true"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Normal"/>
    <w:next w:val="Normal"/>
    <w:link w:val="Style_21_ch"/>
    <w:uiPriority w:val="9"/>
    <w:qFormat/>
    <w:pPr>
      <w:keepNext w:val="true"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Normal"/>
    <w:link w:val="Style_54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oto Serif CJK SC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oto Serif CJK SC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31">
    <w:name w:val="Заголовок 3 Знак"/>
    <w:basedOn w:val="DefaultParagraphFont"/>
    <w:link w:val="Style_12"/>
    <w:qFormat/>
    <w:rPr>
      <w:rFonts w:ascii="Cambria" w:hAnsi="Cambria"/>
      <w:b/>
      <w:color w:val="4F81BD"/>
      <w:sz w:val="22"/>
    </w:rPr>
  </w:style>
  <w:style w:type="character" w:styleId="Style9">
    <w:name w:val="Указатель"/>
    <w:link w:val="Style_14"/>
    <w:qFormat/>
    <w:rPr/>
  </w:style>
  <w:style w:type="character" w:styleId="Contents2">
    <w:name w:val="Contents 2"/>
    <w:link w:val="Style_15"/>
    <w:qFormat/>
    <w:rPr>
      <w:rFonts w:ascii="XO Thames" w:hAnsi="XO Thames"/>
      <w:sz w:val="28"/>
    </w:rPr>
  </w:style>
  <w:style w:type="character" w:styleId="Contents4">
    <w:name w:val="Contents 4"/>
    <w:link w:val="Style_16"/>
    <w:qFormat/>
    <w:rPr>
      <w:rFonts w:ascii="XO Thames" w:hAnsi="XO Thames"/>
      <w:sz w:val="28"/>
    </w:rPr>
  </w:style>
  <w:style w:type="character" w:styleId="Style10">
    <w:name w:val="Верхний колонтитул Знак"/>
    <w:basedOn w:val="DefaultParagraphFont"/>
    <w:link w:val="Style_17"/>
    <w:qFormat/>
    <w:rPr/>
  </w:style>
  <w:style w:type="character" w:styleId="Contents6">
    <w:name w:val="Contents 6"/>
    <w:link w:val="Style_18"/>
    <w:qFormat/>
    <w:rPr>
      <w:rFonts w:ascii="XO Thames" w:hAnsi="XO Thames"/>
      <w:sz w:val="28"/>
    </w:rPr>
  </w:style>
  <w:style w:type="character" w:styleId="Contents7">
    <w:name w:val="Contents 7"/>
    <w:link w:val="Style_19"/>
    <w:qFormat/>
    <w:rPr>
      <w:rFonts w:ascii="XO Thames" w:hAnsi="XO Thames"/>
      <w:sz w:val="28"/>
    </w:rPr>
  </w:style>
  <w:style w:type="character" w:styleId="Style11">
    <w:name w:val="Таблицы (моноширинный)"/>
    <w:link w:val="Style_7"/>
    <w:qFormat/>
    <w:rPr>
      <w:rFonts w:ascii="Courier New" w:hAnsi="Courier New"/>
      <w:sz w:val="24"/>
    </w:rPr>
  </w:style>
  <w:style w:type="character" w:styleId="11">
    <w:name w:val="Заголовок 1 Знак"/>
    <w:basedOn w:val="DefaultParagraphFont"/>
    <w:link w:val="Style_20"/>
    <w:qFormat/>
    <w:rPr>
      <w:rFonts w:ascii="Arial" w:hAnsi="Arial"/>
      <w:b/>
      <w:color w:val="000080"/>
      <w:sz w:val="24"/>
    </w:rPr>
  </w:style>
  <w:style w:type="character" w:styleId="12">
    <w:name w:val="Основной текст1"/>
    <w:link w:val="Style_9"/>
    <w:qFormat/>
    <w:rPr>
      <w:sz w:val="24"/>
      <w:highlight w:val="white"/>
    </w:rPr>
  </w:style>
  <w:style w:type="character" w:styleId="Style12">
    <w:name w:val="Содержимое таблицы"/>
    <w:link w:val="Style_10"/>
    <w:qFormat/>
    <w:rPr/>
  </w:style>
  <w:style w:type="character" w:styleId="Heading3">
    <w:name w:val="Heading 3"/>
    <w:link w:val="Style_21"/>
    <w:qFormat/>
    <w:rPr>
      <w:rFonts w:ascii="Cambria" w:hAnsi="Cambria"/>
      <w:b/>
      <w:color w:val="4F81BD"/>
    </w:rPr>
  </w:style>
  <w:style w:type="character" w:styleId="21">
    <w:name w:val="Заголовок 2 Знак"/>
    <w:basedOn w:val="DefaultParagraphFont"/>
    <w:link w:val="Style_22"/>
    <w:qFormat/>
    <w:rPr>
      <w:rFonts w:ascii="Cambria" w:hAnsi="Cambria"/>
      <w:b/>
      <w:color w:val="4F81BD"/>
      <w:sz w:val="26"/>
    </w:rPr>
  </w:style>
  <w:style w:type="character" w:styleId="ConsPlusCell">
    <w:name w:val="ConsPlusCell"/>
    <w:link w:val="Style_23"/>
    <w:qFormat/>
    <w:rPr>
      <w:rFonts w:ascii="Times New Roman" w:hAnsi="Times New Roman"/>
      <w:color w:val="000000"/>
      <w:sz w:val="28"/>
    </w:rPr>
  </w:style>
  <w:style w:type="character" w:styleId="Style13">
    <w:name w:val="Основной текст_"/>
    <w:link w:val="Style_24"/>
    <w:qFormat/>
    <w:rPr>
      <w:sz w:val="24"/>
      <w:highlight w:val="white"/>
    </w:rPr>
  </w:style>
  <w:style w:type="character" w:styleId="List">
    <w:name w:val="List"/>
    <w:basedOn w:val="Textbody"/>
    <w:link w:val="Style_25"/>
    <w:qFormat/>
    <w:rPr/>
  </w:style>
  <w:style w:type="character" w:styleId="Style14">
    <w:name w:val="Название Знак"/>
    <w:basedOn w:val="DefaultParagraphFont"/>
    <w:link w:val="Style_27"/>
    <w:qFormat/>
    <w:rPr>
      <w:rFonts w:ascii="Cambria" w:hAnsi="Cambria"/>
      <w:b/>
      <w:sz w:val="32"/>
    </w:rPr>
  </w:style>
  <w:style w:type="character" w:styleId="Style15">
    <w:name w:val="Текст выноски Знак"/>
    <w:basedOn w:val="DefaultParagraphFont"/>
    <w:link w:val="Style_28"/>
    <w:qFormat/>
    <w:rPr>
      <w:rFonts w:ascii="Tahoma" w:hAnsi="Tahoma"/>
      <w:sz w:val="16"/>
    </w:rPr>
  </w:style>
  <w:style w:type="character" w:styleId="Footer">
    <w:name w:val="Footer"/>
    <w:link w:val="Style_29"/>
    <w:qFormat/>
    <w:rPr>
      <w:sz w:val="20"/>
    </w:rPr>
  </w:style>
  <w:style w:type="character" w:styleId="Contents3">
    <w:name w:val="Contents 3"/>
    <w:link w:val="Style_30"/>
    <w:qFormat/>
    <w:rPr>
      <w:rFonts w:ascii="XO Thames" w:hAnsi="XO Thames"/>
      <w:sz w:val="28"/>
    </w:rPr>
  </w:style>
  <w:style w:type="character" w:styleId="Style16">
    <w:name w:val="Заголовок"/>
    <w:link w:val="Style_31"/>
    <w:qFormat/>
    <w:rPr>
      <w:rFonts w:ascii="Liberation Sans" w:hAnsi="Liberation Sans"/>
      <w:sz w:val="28"/>
    </w:rPr>
  </w:style>
  <w:style w:type="character" w:styleId="Style17">
    <w:name w:val="Символ нумерации"/>
    <w:link w:val="Style_32"/>
    <w:qFormat/>
    <w:rPr/>
  </w:style>
  <w:style w:type="character" w:styleId="Style18">
    <w:name w:val="Нижний колонтитул Знак"/>
    <w:basedOn w:val="DefaultParagraphFont"/>
    <w:link w:val="Style_33"/>
    <w:qFormat/>
    <w:rPr/>
  </w:style>
  <w:style w:type="character" w:styleId="22">
    <w:name w:val="Основной текст (2)_"/>
    <w:link w:val="Style_34"/>
    <w:qFormat/>
    <w:rPr>
      <w:rFonts w:ascii="Times New Roman" w:hAnsi="Times New Roman"/>
      <w:highlight w:val="white"/>
    </w:rPr>
  </w:style>
  <w:style w:type="character" w:styleId="Heading5">
    <w:name w:val="Heading 5"/>
    <w:link w:val="Style_35"/>
    <w:qFormat/>
    <w:rPr>
      <w:rFonts w:ascii="XO Thames" w:hAnsi="XO Thames"/>
      <w:b/>
      <w:sz w:val="22"/>
    </w:rPr>
  </w:style>
  <w:style w:type="character" w:styleId="Heading1">
    <w:name w:val="Heading 1"/>
    <w:link w:val="Style_36"/>
    <w:qFormat/>
    <w:rPr>
      <w:rFonts w:ascii="Arial" w:hAnsi="Arial"/>
      <w:b/>
      <w:color w:val="000080"/>
      <w:sz w:val="24"/>
    </w:rPr>
  </w:style>
  <w:style w:type="character" w:styleId="Caption">
    <w:name w:val="Caption"/>
    <w:link w:val="Style_37"/>
    <w:qFormat/>
    <w:rPr>
      <w:i/>
      <w:sz w:val="24"/>
    </w:rPr>
  </w:style>
  <w:style w:type="character" w:styleId="Style19">
    <w:name w:val="Интернет-ссылка"/>
    <w:link w:val="Style_38"/>
    <w:rPr>
      <w:color w:val="0000FF"/>
      <w:u w:val="single"/>
    </w:rPr>
  </w:style>
  <w:style w:type="character" w:styleId="Footnote">
    <w:name w:val="Footnote"/>
    <w:link w:val="Style_39"/>
    <w:qFormat/>
    <w:rPr>
      <w:rFonts w:ascii="XO Thames" w:hAnsi="XO Thames"/>
      <w:sz w:val="22"/>
    </w:rPr>
  </w:style>
  <w:style w:type="character" w:styleId="Style20">
    <w:name w:val="Верхний и нижний колонтитулы"/>
    <w:link w:val="Style_40"/>
    <w:qFormat/>
    <w:rPr/>
  </w:style>
  <w:style w:type="character" w:styleId="Contents1">
    <w:name w:val="Contents 1"/>
    <w:link w:val="Style_41"/>
    <w:qFormat/>
    <w:rPr>
      <w:rFonts w:ascii="XO Thames" w:hAnsi="XO Thames"/>
      <w:b/>
      <w:sz w:val="28"/>
    </w:rPr>
  </w:style>
  <w:style w:type="character" w:styleId="Style21">
    <w:name w:val="Цветовое выделение"/>
    <w:link w:val="Style_42"/>
    <w:qFormat/>
    <w:rPr>
      <w:b/>
      <w:color w:val="26282F"/>
      <w:sz w:val="26"/>
    </w:rPr>
  </w:style>
  <w:style w:type="character" w:styleId="HeaderandFooter">
    <w:name w:val="Header and Footer"/>
    <w:link w:val="Style_43"/>
    <w:qFormat/>
    <w:rPr>
      <w:rFonts w:ascii="XO Thames" w:hAnsi="XO Thames"/>
      <w:sz w:val="20"/>
    </w:rPr>
  </w:style>
  <w:style w:type="character" w:styleId="BalloonText">
    <w:name w:val="Balloon Text"/>
    <w:link w:val="Style_44"/>
    <w:qFormat/>
    <w:rPr>
      <w:rFonts w:ascii="Tahoma" w:hAnsi="Tahoma"/>
      <w:sz w:val="16"/>
    </w:rPr>
  </w:style>
  <w:style w:type="character" w:styleId="Contents9">
    <w:name w:val="Contents 9"/>
    <w:link w:val="Style_45"/>
    <w:qFormat/>
    <w:rPr>
      <w:rFonts w:ascii="XO Thames" w:hAnsi="XO Thames"/>
      <w:sz w:val="28"/>
    </w:rPr>
  </w:style>
  <w:style w:type="character" w:styleId="ConsPlusNormal">
    <w:name w:val="ConsPlusNormal"/>
    <w:link w:val="Style_8"/>
    <w:qFormat/>
    <w:rPr>
      <w:rFonts w:ascii="Arial" w:hAnsi="Arial"/>
      <w:color w:val="000000"/>
      <w:sz w:val="22"/>
    </w:rPr>
  </w:style>
  <w:style w:type="character" w:styleId="ConsPlusNormal1">
    <w:name w:val="ConsPlusNormal Знак"/>
    <w:link w:val="Style_46"/>
    <w:qFormat/>
    <w:rPr>
      <w:rFonts w:ascii="Arial" w:hAnsi="Arial"/>
      <w:sz w:val="22"/>
    </w:rPr>
  </w:style>
  <w:style w:type="character" w:styleId="23">
    <w:name w:val="Основной текст (2)"/>
    <w:link w:val="Style_6"/>
    <w:qFormat/>
    <w:rPr>
      <w:rFonts w:ascii="Times New Roman" w:hAnsi="Times New Roman"/>
      <w:sz w:val="20"/>
    </w:rPr>
  </w:style>
  <w:style w:type="character" w:styleId="Style22">
    <w:name w:val="Выделение"/>
    <w:basedOn w:val="DefaultParagraphFont"/>
    <w:link w:val="Style_11"/>
    <w:qFormat/>
    <w:rPr>
      <w:i/>
    </w:rPr>
  </w:style>
  <w:style w:type="character" w:styleId="Contents8">
    <w:name w:val="Contents 8"/>
    <w:link w:val="Style_47"/>
    <w:qFormat/>
    <w:rPr>
      <w:rFonts w:ascii="XO Thames" w:hAnsi="XO Thames"/>
      <w:sz w:val="28"/>
    </w:rPr>
  </w:style>
  <w:style w:type="character" w:styleId="ListParagraph">
    <w:name w:val="List Paragraph"/>
    <w:link w:val="Style_5"/>
    <w:qFormat/>
    <w:rPr/>
  </w:style>
  <w:style w:type="character" w:styleId="Style23">
    <w:name w:val="Заголовок таблицы"/>
    <w:basedOn w:val="Style12"/>
    <w:link w:val="Style_48"/>
    <w:qFormat/>
    <w:rPr>
      <w:b/>
    </w:rPr>
  </w:style>
  <w:style w:type="character" w:styleId="Style24">
    <w:name w:val="Подзаголовок Знак"/>
    <w:basedOn w:val="DefaultParagraphFont"/>
    <w:link w:val="Style_49"/>
    <w:qFormat/>
    <w:rPr>
      <w:rFonts w:ascii="Cambria" w:hAnsi="Cambria"/>
      <w:i/>
      <w:color w:val="4F81BD"/>
      <w:spacing w:val="15"/>
      <w:sz w:val="24"/>
    </w:rPr>
  </w:style>
  <w:style w:type="character" w:styleId="Header">
    <w:name w:val="Header"/>
    <w:link w:val="Style_50"/>
    <w:qFormat/>
    <w:rPr>
      <w:sz w:val="20"/>
    </w:rPr>
  </w:style>
  <w:style w:type="character" w:styleId="Contents5">
    <w:name w:val="Contents 5"/>
    <w:link w:val="Style_51"/>
    <w:qFormat/>
    <w:rPr>
      <w:rFonts w:ascii="XO Thames" w:hAnsi="XO Thames"/>
      <w:sz w:val="28"/>
    </w:rPr>
  </w:style>
  <w:style w:type="character" w:styleId="DefaultParagraphFont">
    <w:name w:val="Default Paragraph Font"/>
    <w:link w:val="Style_13"/>
    <w:qFormat/>
    <w:rPr/>
  </w:style>
  <w:style w:type="character" w:styleId="FontStyle11">
    <w:name w:val="Font Style11"/>
    <w:link w:val="Style_52"/>
    <w:qFormat/>
    <w:rPr>
      <w:rFonts w:ascii="Times New Roman" w:hAnsi="Times New Roman"/>
      <w:sz w:val="22"/>
    </w:rPr>
  </w:style>
  <w:style w:type="character" w:styleId="Subtitle">
    <w:name w:val="Subtitle"/>
    <w:link w:val="Style_1"/>
    <w:qFormat/>
    <w:rPr>
      <w:rFonts w:ascii="Cambria" w:hAnsi="Cambria"/>
      <w:i/>
      <w:color w:val="4F81BD"/>
      <w:spacing w:val="15"/>
      <w:sz w:val="24"/>
    </w:rPr>
  </w:style>
  <w:style w:type="character" w:styleId="Textbody">
    <w:name w:val="Text body"/>
    <w:link w:val="Style_26"/>
    <w:qFormat/>
    <w:rPr/>
  </w:style>
  <w:style w:type="character" w:styleId="13">
    <w:name w:val="Название Знак1"/>
    <w:basedOn w:val="DefaultParagraphFont"/>
    <w:link w:val="Style_53"/>
    <w:qFormat/>
    <w:rPr>
      <w:rFonts w:ascii="Times New Roman" w:hAnsi="Times New Roman"/>
      <w:b/>
      <w:sz w:val="24"/>
      <w:u w:val="single"/>
    </w:rPr>
  </w:style>
  <w:style w:type="character" w:styleId="Title">
    <w:name w:val="Title"/>
    <w:link w:val="Style_3"/>
    <w:qFormat/>
    <w:rPr>
      <w:rFonts w:ascii="Times New Roman" w:hAnsi="Times New Roman"/>
      <w:b/>
      <w:sz w:val="28"/>
      <w:u w:val="single"/>
    </w:rPr>
  </w:style>
  <w:style w:type="character" w:styleId="Heading4">
    <w:name w:val="Heading 4"/>
    <w:link w:val="Style_54"/>
    <w:qFormat/>
    <w:rPr>
      <w:rFonts w:ascii="XO Thames" w:hAnsi="XO Thames"/>
      <w:b/>
      <w:sz w:val="24"/>
    </w:rPr>
  </w:style>
  <w:style w:type="character" w:styleId="NoSpacing">
    <w:name w:val="No Spacing"/>
    <w:link w:val="Style_4"/>
    <w:qFormat/>
    <w:rPr>
      <w:rFonts w:ascii="Times New Roman" w:hAnsi="Times New Roman"/>
      <w:color w:val="000000"/>
      <w:sz w:val="24"/>
    </w:rPr>
  </w:style>
  <w:style w:type="character" w:styleId="Heading2">
    <w:name w:val="Heading 2"/>
    <w:link w:val="Style_55"/>
    <w:qFormat/>
    <w:rPr>
      <w:rFonts w:ascii="Cambria" w:hAnsi="Cambria"/>
      <w:b/>
      <w:color w:val="4F81BD"/>
      <w:sz w:val="26"/>
    </w:rPr>
  </w:style>
  <w:style w:type="paragraph" w:styleId="Style25">
    <w:name w:val="Заголовок"/>
    <w:basedOn w:val="Normal"/>
    <w:next w:val="Style26"/>
    <w:link w:val="Style_3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6">
    <w:name w:val="Body Text"/>
    <w:basedOn w:val="Normal"/>
    <w:link w:val="Style_26_ch"/>
    <w:pPr>
      <w:spacing w:lineRule="auto" w:line="276" w:before="0" w:after="140"/>
    </w:pPr>
    <w:rPr/>
  </w:style>
  <w:style w:type="paragraph" w:styleId="Style27">
    <w:name w:val="List"/>
    <w:basedOn w:val="Style26"/>
    <w:link w:val="Style_25_ch"/>
    <w:pPr/>
    <w:rPr/>
  </w:style>
  <w:style w:type="paragraph" w:styleId="Style28">
    <w:name w:val="Caption"/>
    <w:basedOn w:val="Normal"/>
    <w:link w:val="Style_37_ch"/>
    <w:qFormat/>
    <w:pPr>
      <w:spacing w:before="120" w:after="120"/>
    </w:pPr>
    <w:rPr>
      <w:i/>
      <w:sz w:val="24"/>
    </w:rPr>
  </w:style>
  <w:style w:type="paragraph" w:styleId="Style29">
    <w:name w:val="Указатель"/>
    <w:basedOn w:val="Normal"/>
    <w:link w:val="Style_14_ch"/>
    <w:qFormat/>
    <w:pPr/>
    <w:rPr/>
  </w:style>
  <w:style w:type="paragraph" w:styleId="32">
    <w:name w:val="Заголовок 3 Знак"/>
    <w:basedOn w:val="DefaultParagraphFont1"/>
    <w:link w:val="Style_12_ch"/>
    <w:qFormat/>
    <w:pPr/>
    <w:rPr>
      <w:rFonts w:ascii="Cambria" w:hAnsi="Cambria"/>
      <w:b/>
      <w:color w:val="4F81BD"/>
      <w:sz w:val="22"/>
    </w:rPr>
  </w:style>
  <w:style w:type="paragraph" w:styleId="24">
    <w:name w:val="TOC 2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Верхний колонтитул Знак"/>
    <w:basedOn w:val="DefaultParagraphFont1"/>
    <w:link w:val="Style_17_ch"/>
    <w:qFormat/>
    <w:pPr/>
    <w:rPr/>
  </w:style>
  <w:style w:type="paragraph" w:styleId="6">
    <w:name w:val="TOC 6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9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Таблицы (моноширинный)"/>
    <w:basedOn w:val="Normal"/>
    <w:next w:val="Normal"/>
    <w:link w:val="Style_7_ch"/>
    <w:qFormat/>
    <w:pPr>
      <w:widowControl w:val="false"/>
      <w:spacing w:lineRule="auto" w:line="240" w:before="0" w:after="0"/>
      <w:jc w:val="both"/>
    </w:pPr>
    <w:rPr>
      <w:rFonts w:ascii="Courier New" w:hAnsi="Courier New"/>
      <w:sz w:val="24"/>
    </w:rPr>
  </w:style>
  <w:style w:type="paragraph" w:styleId="14">
    <w:name w:val="Заголовок 1 Знак"/>
    <w:basedOn w:val="DefaultParagraphFont1"/>
    <w:link w:val="Style_20_ch"/>
    <w:qFormat/>
    <w:pPr/>
    <w:rPr>
      <w:rFonts w:ascii="Arial" w:hAnsi="Arial"/>
      <w:b/>
      <w:color w:val="000080"/>
      <w:sz w:val="24"/>
    </w:rPr>
  </w:style>
  <w:style w:type="paragraph" w:styleId="15">
    <w:name w:val="Основной текст1"/>
    <w:basedOn w:val="Normal"/>
    <w:link w:val="Style_9_ch"/>
    <w:qFormat/>
    <w:pPr>
      <w:spacing w:lineRule="exact" w:line="197" w:before="0" w:after="0"/>
      <w:ind w:left="0" w:right="0" w:hanging="560"/>
      <w:jc w:val="center"/>
    </w:pPr>
    <w:rPr>
      <w:sz w:val="24"/>
      <w:highlight w:val="white"/>
    </w:rPr>
  </w:style>
  <w:style w:type="paragraph" w:styleId="Style32">
    <w:name w:val="Содержимое таблицы"/>
    <w:basedOn w:val="Normal"/>
    <w:link w:val="Style_10_ch"/>
    <w:qFormat/>
    <w:pPr>
      <w:widowControl w:val="false"/>
    </w:pPr>
    <w:rPr/>
  </w:style>
  <w:style w:type="paragraph" w:styleId="25">
    <w:name w:val="Заголовок 2 Знак"/>
    <w:basedOn w:val="DefaultParagraphFont1"/>
    <w:link w:val="Style_22_ch"/>
    <w:qFormat/>
    <w:pPr/>
    <w:rPr>
      <w:rFonts w:ascii="Cambria" w:hAnsi="Cambria"/>
      <w:b/>
      <w:color w:val="4F81BD"/>
      <w:sz w:val="26"/>
    </w:rPr>
  </w:style>
  <w:style w:type="paragraph" w:styleId="ConsPlusCell1">
    <w:name w:val="ConsPlusCell"/>
    <w:link w:val="Style_2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Основной текст_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4"/>
      <w:szCs w:val="20"/>
      <w:highlight w:val="white"/>
      <w:lang w:val="ru-RU" w:eastAsia="zh-CN" w:bidi="hi-IN"/>
    </w:rPr>
  </w:style>
  <w:style w:type="paragraph" w:styleId="Style34">
    <w:name w:val="Название Знак"/>
    <w:basedOn w:val="DefaultParagraphFont1"/>
    <w:link w:val="Style_27_ch"/>
    <w:qFormat/>
    <w:pPr/>
    <w:rPr>
      <w:rFonts w:ascii="Cambria" w:hAnsi="Cambria"/>
      <w:b/>
      <w:sz w:val="32"/>
    </w:rPr>
  </w:style>
  <w:style w:type="paragraph" w:styleId="Style35">
    <w:name w:val="Текст выноски Знак"/>
    <w:basedOn w:val="DefaultParagraphFont1"/>
    <w:link w:val="Style_28_ch"/>
    <w:qFormat/>
    <w:pPr/>
    <w:rPr>
      <w:rFonts w:ascii="Tahoma" w:hAnsi="Tahoma"/>
      <w:sz w:val="16"/>
    </w:rPr>
  </w:style>
  <w:style w:type="paragraph" w:styleId="Style36">
    <w:name w:val="Верхний и нижний колонтитулы"/>
    <w:link w:val="Style_43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oto Serif CJK SC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Footer"/>
    <w:basedOn w:val="Normal"/>
    <w:link w:val="Style_29_ch"/>
    <w:pPr>
      <w:tabs>
        <w:tab w:val="clear" w:pos="708"/>
        <w:tab w:val="center" w:pos="4677" w:leader="none"/>
        <w:tab w:val="right" w:pos="9355" w:leader="none"/>
      </w:tabs>
    </w:pPr>
    <w:rPr>
      <w:sz w:val="20"/>
    </w:rPr>
  </w:style>
  <w:style w:type="paragraph" w:styleId="33">
    <w:name w:val="TOC 3"/>
    <w:next w:val="Normal"/>
    <w:link w:val="Style_30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8">
    <w:name w:val="Символ нумерации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9">
    <w:name w:val="Нижний колонтитул Знак"/>
    <w:basedOn w:val="DefaultParagraphFont1"/>
    <w:link w:val="Style_33_ch"/>
    <w:qFormat/>
    <w:pPr/>
    <w:rPr/>
  </w:style>
  <w:style w:type="paragraph" w:styleId="26">
    <w:name w:val="Основной текст (2)_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2"/>
      <w:szCs w:val="20"/>
      <w:highlight w:val="white"/>
      <w:lang w:val="ru-RU" w:eastAsia="zh-CN" w:bidi="hi-IN"/>
    </w:rPr>
  </w:style>
  <w:style w:type="paragraph" w:styleId="Internetlink">
    <w:name w:val="Hyperlink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39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link w:val="Style_41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Цветовое выделение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b/>
      <w:color w:val="26282F"/>
      <w:spacing w:val="0"/>
      <w:kern w:val="0"/>
      <w:sz w:val="26"/>
      <w:szCs w:val="20"/>
      <w:lang w:val="ru-RU" w:eastAsia="zh-CN" w:bidi="hi-IN"/>
    </w:rPr>
  </w:style>
  <w:style w:type="paragraph" w:styleId="BalloonText1">
    <w:name w:val="Balloon Text"/>
    <w:basedOn w:val="Normal"/>
    <w:link w:val="Style_44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9">
    <w:name w:val="TOC 9"/>
    <w:next w:val="Normal"/>
    <w:link w:val="Style_45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2">
    <w:name w:val="ConsPlusNormal"/>
    <w:link w:val="Style_8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3">
    <w:name w:val="ConsPlusNormal Знак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7">
    <w:name w:val="Основной текст (2)"/>
    <w:basedOn w:val="Normal"/>
    <w:link w:val="Style_6_ch"/>
    <w:qFormat/>
    <w:pPr>
      <w:widowControl w:val="false"/>
      <w:spacing w:lineRule="exact" w:line="259" w:before="0" w:after="5100"/>
      <w:ind w:left="0" w:right="0" w:hanging="320"/>
      <w:jc w:val="right"/>
    </w:pPr>
    <w:rPr>
      <w:rFonts w:ascii="Times New Roman" w:hAnsi="Times New Roman"/>
      <w:sz w:val="20"/>
    </w:rPr>
  </w:style>
  <w:style w:type="paragraph" w:styleId="Style41">
    <w:name w:val="Выделение"/>
    <w:basedOn w:val="DefaultParagraphFont1"/>
    <w:link w:val="Style_11_ch"/>
    <w:qFormat/>
    <w:pPr/>
    <w:rPr>
      <w:i/>
    </w:rPr>
  </w:style>
  <w:style w:type="paragraph" w:styleId="8">
    <w:name w:val="TOC 8"/>
    <w:next w:val="Normal"/>
    <w:link w:val="Style_47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Style_5_ch"/>
    <w:qFormat/>
    <w:pPr>
      <w:spacing w:before="0" w:after="200"/>
      <w:ind w:left="720" w:right="0" w:hanging="0"/>
      <w:contextualSpacing/>
    </w:pPr>
    <w:rPr/>
  </w:style>
  <w:style w:type="paragraph" w:styleId="Style42">
    <w:name w:val="Заголовок таблицы"/>
    <w:basedOn w:val="Style32"/>
    <w:link w:val="Style_48_ch"/>
    <w:qFormat/>
    <w:pPr>
      <w:jc w:val="center"/>
    </w:pPr>
    <w:rPr>
      <w:b/>
    </w:rPr>
  </w:style>
  <w:style w:type="paragraph" w:styleId="Style43">
    <w:name w:val="Подзаголовок Знак"/>
    <w:basedOn w:val="DefaultParagraphFont1"/>
    <w:link w:val="Style_49_ch"/>
    <w:qFormat/>
    <w:pPr/>
    <w:rPr>
      <w:rFonts w:ascii="Cambria" w:hAnsi="Cambria"/>
      <w:i/>
      <w:color w:val="4F81BD"/>
      <w:spacing w:val="15"/>
      <w:sz w:val="24"/>
    </w:rPr>
  </w:style>
  <w:style w:type="paragraph" w:styleId="Style44">
    <w:name w:val="Header"/>
    <w:basedOn w:val="Normal"/>
    <w:link w:val="Style_50_ch"/>
    <w:pPr>
      <w:tabs>
        <w:tab w:val="clear" w:pos="708"/>
        <w:tab w:val="center" w:pos="4677" w:leader="none"/>
        <w:tab w:val="right" w:pos="9355" w:leader="none"/>
      </w:tabs>
    </w:pPr>
    <w:rPr>
      <w:sz w:val="20"/>
    </w:rPr>
  </w:style>
  <w:style w:type="paragraph" w:styleId="51">
    <w:name w:val="TOC 5"/>
    <w:next w:val="Normal"/>
    <w:link w:val="Style_51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ntStyle111">
    <w:name w:val="Font Style11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5">
    <w:name w:val="Subtitle"/>
    <w:basedOn w:val="Normal"/>
    <w:next w:val="Normal"/>
    <w:link w:val="Style_1_ch"/>
    <w:uiPriority w:val="11"/>
    <w:qFormat/>
    <w:pPr/>
    <w:rPr>
      <w:rFonts w:ascii="Cambria" w:hAnsi="Cambria"/>
      <w:i/>
      <w:color w:val="4F81BD"/>
      <w:spacing w:val="15"/>
      <w:sz w:val="24"/>
    </w:rPr>
  </w:style>
  <w:style w:type="paragraph" w:styleId="17">
    <w:name w:val="Название Знак1"/>
    <w:basedOn w:val="DefaultParagraphFont1"/>
    <w:link w:val="Style_53_ch"/>
    <w:qFormat/>
    <w:pPr/>
    <w:rPr>
      <w:rFonts w:ascii="Times New Roman" w:hAnsi="Times New Roman"/>
      <w:b/>
      <w:sz w:val="24"/>
      <w:u w:val="single"/>
    </w:rPr>
  </w:style>
  <w:style w:type="paragraph" w:styleId="Style46">
    <w:name w:val="Title"/>
    <w:basedOn w:val="Normal"/>
    <w:link w:val="Style_3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8"/>
      <w:u w:val="single"/>
    </w:rPr>
  </w:style>
  <w:style w:type="paragraph" w:styleId="NoSpacing1">
    <w:name w:val="No Spacing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LibreOffice/7.0.4.2$Linux_X86_64 LibreOffice_project/00$Build-2</Application>
  <AppVersion>15.0000</AppVersion>
  <Pages>41</Pages>
  <Words>10152</Words>
  <Characters>74203</Characters>
  <CharactersWithSpaces>83405</CharactersWithSpaces>
  <Paragraphs>1696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2023-07-26T11:08:36Z</cp:lastPrinted>
  <dcterms:modified xsi:type="dcterms:W3CDTF">2023-07-26T11:08:59Z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