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50" w:rsidRPr="00612C15" w:rsidRDefault="00C75450" w:rsidP="00C75450">
      <w:pPr>
        <w:jc w:val="center"/>
        <w:rPr>
          <w:sz w:val="28"/>
          <w:szCs w:val="28"/>
        </w:rPr>
      </w:pPr>
      <w:r w:rsidRPr="00612C15">
        <w:rPr>
          <w:sz w:val="28"/>
          <w:szCs w:val="28"/>
        </w:rPr>
        <w:t>Справка</w:t>
      </w:r>
    </w:p>
    <w:p w:rsidR="00C75450" w:rsidRPr="00612C15" w:rsidRDefault="00C75450" w:rsidP="00C75450">
      <w:pPr>
        <w:jc w:val="center"/>
        <w:rPr>
          <w:sz w:val="28"/>
          <w:szCs w:val="28"/>
        </w:rPr>
      </w:pPr>
      <w:r w:rsidRPr="00612C15">
        <w:rPr>
          <w:sz w:val="28"/>
          <w:szCs w:val="28"/>
        </w:rPr>
        <w:t xml:space="preserve"> о результатах внутреннего муниципального финансового </w:t>
      </w:r>
      <w:proofErr w:type="gramStart"/>
      <w:r w:rsidR="001E43FB" w:rsidRPr="00612C15">
        <w:rPr>
          <w:sz w:val="28"/>
          <w:szCs w:val="28"/>
        </w:rPr>
        <w:t>контроля за</w:t>
      </w:r>
      <w:proofErr w:type="gramEnd"/>
      <w:r w:rsidR="001E43FB" w:rsidRPr="00612C15">
        <w:rPr>
          <w:sz w:val="28"/>
          <w:szCs w:val="28"/>
        </w:rPr>
        <w:t xml:space="preserve"> использованием бюджетных средств за </w:t>
      </w:r>
      <w:r w:rsidR="002C5028" w:rsidRPr="00612C15">
        <w:rPr>
          <w:sz w:val="28"/>
          <w:szCs w:val="28"/>
          <w:lang w:val="en-US"/>
        </w:rPr>
        <w:t>IV</w:t>
      </w:r>
      <w:r w:rsidR="00424A3C" w:rsidRPr="00612C15">
        <w:rPr>
          <w:sz w:val="28"/>
          <w:szCs w:val="28"/>
        </w:rPr>
        <w:t xml:space="preserve"> квартал</w:t>
      </w:r>
      <w:r w:rsidR="001E43FB" w:rsidRPr="00612C15">
        <w:rPr>
          <w:sz w:val="28"/>
          <w:szCs w:val="28"/>
        </w:rPr>
        <w:t xml:space="preserve"> 2021 года</w:t>
      </w:r>
    </w:p>
    <w:p w:rsidR="009D2F15" w:rsidRPr="00612C15" w:rsidRDefault="009D2F15" w:rsidP="00C75450">
      <w:pPr>
        <w:jc w:val="center"/>
        <w:rPr>
          <w:sz w:val="28"/>
          <w:szCs w:val="28"/>
        </w:rPr>
      </w:pPr>
    </w:p>
    <w:p w:rsidR="001E43FB" w:rsidRPr="00612C15" w:rsidRDefault="00F900FF" w:rsidP="001E43FB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2C15">
        <w:rPr>
          <w:sz w:val="28"/>
          <w:szCs w:val="28"/>
        </w:rPr>
        <w:tab/>
      </w:r>
      <w:proofErr w:type="gramStart"/>
      <w:r w:rsidR="001E43FB" w:rsidRPr="00612C15">
        <w:rPr>
          <w:sz w:val="28"/>
          <w:szCs w:val="28"/>
        </w:rPr>
        <w:t xml:space="preserve">В соответствии с планом контрольных мероприятий финансового управления администрации Ивантеевского муниципального района Саратовской области на 2021 год, финансовым управлением администрации Ивантеевского муниципального района Саратовской области за </w:t>
      </w:r>
      <w:r w:rsidR="002C5028" w:rsidRPr="00612C15">
        <w:rPr>
          <w:sz w:val="28"/>
          <w:szCs w:val="28"/>
          <w:lang w:val="en-US"/>
        </w:rPr>
        <w:t>IV</w:t>
      </w:r>
      <w:r w:rsidR="00424A3C" w:rsidRPr="00612C15">
        <w:rPr>
          <w:sz w:val="28"/>
          <w:szCs w:val="28"/>
        </w:rPr>
        <w:t xml:space="preserve"> квартал</w:t>
      </w:r>
      <w:r w:rsidR="001E43FB" w:rsidRPr="00612C15">
        <w:rPr>
          <w:sz w:val="28"/>
          <w:szCs w:val="28"/>
        </w:rPr>
        <w:t xml:space="preserve"> была проведена одна плановая проверка </w:t>
      </w:r>
      <w:r w:rsidR="00424A3C" w:rsidRPr="00612C15">
        <w:rPr>
          <w:sz w:val="28"/>
          <w:szCs w:val="28"/>
        </w:rPr>
        <w:t>финансово-хозяйственной деятельности</w:t>
      </w:r>
      <w:r w:rsidR="001E43FB" w:rsidRPr="00612C15">
        <w:rPr>
          <w:sz w:val="28"/>
          <w:szCs w:val="28"/>
        </w:rPr>
        <w:t xml:space="preserve"> </w:t>
      </w:r>
      <w:r w:rsidRPr="00612C15">
        <w:rPr>
          <w:sz w:val="28"/>
          <w:szCs w:val="28"/>
        </w:rPr>
        <w:t xml:space="preserve">в </w:t>
      </w:r>
      <w:r w:rsidR="00D31B8C" w:rsidRPr="00612C15">
        <w:rPr>
          <w:sz w:val="28"/>
          <w:szCs w:val="28"/>
          <w:shd w:val="clear" w:color="auto" w:fill="FFFFFF"/>
        </w:rPr>
        <w:t>муниципальном дошкольном образовательном учреждение "Детский сад "</w:t>
      </w:r>
      <w:proofErr w:type="spellStart"/>
      <w:r w:rsidR="00D31B8C" w:rsidRPr="00612C15">
        <w:rPr>
          <w:sz w:val="28"/>
          <w:szCs w:val="28"/>
          <w:shd w:val="clear" w:color="auto" w:fill="FFFFFF"/>
        </w:rPr>
        <w:t>Дюймовочка</w:t>
      </w:r>
      <w:proofErr w:type="spellEnd"/>
      <w:r w:rsidR="00D31B8C" w:rsidRPr="00612C15">
        <w:rPr>
          <w:sz w:val="28"/>
          <w:szCs w:val="28"/>
          <w:shd w:val="clear" w:color="auto" w:fill="FFFFFF"/>
        </w:rPr>
        <w:t>" с. Ивантеевка Ивантеевского района Саратовской области"</w:t>
      </w:r>
      <w:r w:rsidR="00424A3C" w:rsidRPr="00612C15">
        <w:rPr>
          <w:bCs/>
          <w:sz w:val="28"/>
          <w:szCs w:val="28"/>
        </w:rPr>
        <w:t>.</w:t>
      </w:r>
      <w:r w:rsidRPr="00612C15">
        <w:rPr>
          <w:bCs/>
          <w:sz w:val="28"/>
          <w:szCs w:val="28"/>
        </w:rPr>
        <w:t xml:space="preserve"> </w:t>
      </w:r>
      <w:proofErr w:type="gramEnd"/>
    </w:p>
    <w:p w:rsidR="00424A3C" w:rsidRPr="00612C15" w:rsidRDefault="00624C64" w:rsidP="00424A3C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2C15">
        <w:rPr>
          <w:sz w:val="28"/>
          <w:szCs w:val="28"/>
        </w:rPr>
        <w:tab/>
        <w:t xml:space="preserve">В результате проверки установлено следующее: </w:t>
      </w:r>
    </w:p>
    <w:p w:rsidR="00D31B8C" w:rsidRPr="00612C15" w:rsidRDefault="00424A3C" w:rsidP="00D31B8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2C15">
        <w:rPr>
          <w:sz w:val="28"/>
          <w:szCs w:val="28"/>
        </w:rPr>
        <w:tab/>
      </w:r>
      <w:r w:rsidR="00D31B8C" w:rsidRPr="00612C15">
        <w:rPr>
          <w:sz w:val="28"/>
          <w:szCs w:val="28"/>
        </w:rPr>
        <w:t xml:space="preserve">1. </w:t>
      </w:r>
      <w:proofErr w:type="gramStart"/>
      <w:r w:rsidR="00D31B8C" w:rsidRPr="00612C15">
        <w:rPr>
          <w:sz w:val="28"/>
          <w:szCs w:val="28"/>
        </w:rPr>
        <w:t xml:space="preserve">В нарушение пункта 15 </w:t>
      </w:r>
      <w:r w:rsidR="00D31B8C" w:rsidRPr="00612C15">
        <w:rPr>
          <w:bCs/>
          <w:sz w:val="28"/>
          <w:szCs w:val="28"/>
        </w:rPr>
        <w:t>Приказа Министерства финансов РФ от 21 июля 2011 года N 86н «Об утверждении </w:t>
      </w:r>
      <w:hyperlink r:id="rId5" w:anchor="6540IN" w:history="1">
        <w:r w:rsidR="00D31B8C" w:rsidRPr="00612C15">
          <w:rPr>
            <w:rStyle w:val="a6"/>
            <w:bCs/>
            <w:color w:val="auto"/>
            <w:sz w:val="28"/>
            <w:szCs w:val="28"/>
            <w:u w:val="none"/>
          </w:rPr>
          <w:t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</w:r>
      </w:hyperlink>
      <w:r w:rsidR="00D31B8C" w:rsidRPr="00612C15">
        <w:rPr>
          <w:bCs/>
          <w:sz w:val="28"/>
          <w:szCs w:val="28"/>
        </w:rPr>
        <w:t xml:space="preserve">» </w:t>
      </w:r>
      <w:r w:rsidR="00D31B8C" w:rsidRPr="00612C15">
        <w:rPr>
          <w:sz w:val="28"/>
          <w:szCs w:val="28"/>
          <w:shd w:val="clear" w:color="auto" w:fill="FFFFFF"/>
        </w:rPr>
        <w:t>Учреждением не внесены изменения на официальный сайт</w:t>
      </w:r>
      <w:r w:rsidR="00D31B8C" w:rsidRPr="00612C15">
        <w:rPr>
          <w:bCs/>
          <w:sz w:val="28"/>
          <w:szCs w:val="28"/>
        </w:rPr>
        <w:t xml:space="preserve"> при</w:t>
      </w:r>
      <w:r w:rsidR="00D31B8C" w:rsidRPr="00612C15">
        <w:rPr>
          <w:sz w:val="28"/>
          <w:szCs w:val="28"/>
          <w:shd w:val="clear" w:color="auto" w:fill="FFFFFF"/>
        </w:rPr>
        <w:t xml:space="preserve"> принятии новых документов и (или) внесения изменений в документы, информации из которых была ранее размещена на официальном</w:t>
      </w:r>
      <w:proofErr w:type="gramEnd"/>
      <w:r w:rsidR="00D31B8C" w:rsidRPr="00612C15">
        <w:rPr>
          <w:sz w:val="28"/>
          <w:szCs w:val="28"/>
          <w:shd w:val="clear" w:color="auto" w:fill="FFFFFF"/>
        </w:rPr>
        <w:t xml:space="preserve"> </w:t>
      </w:r>
      <w:proofErr w:type="gramStart"/>
      <w:r w:rsidR="00D31B8C" w:rsidRPr="00612C15">
        <w:rPr>
          <w:sz w:val="28"/>
          <w:szCs w:val="28"/>
          <w:shd w:val="clear" w:color="auto" w:fill="FFFFFF"/>
        </w:rPr>
        <w:t>сайте</w:t>
      </w:r>
      <w:proofErr w:type="gramEnd"/>
      <w:r w:rsidR="00D31B8C" w:rsidRPr="00612C15">
        <w:rPr>
          <w:sz w:val="28"/>
          <w:szCs w:val="28"/>
          <w:shd w:val="clear" w:color="auto" w:fill="FFFFFF"/>
        </w:rPr>
        <w:t xml:space="preserve"> (</w:t>
      </w:r>
      <w:hyperlink r:id="rId6" w:history="1">
        <w:r w:rsidR="00D31B8C" w:rsidRPr="00612C15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D31B8C" w:rsidRPr="00612C1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D31B8C" w:rsidRPr="00612C15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en-US"/>
          </w:rPr>
          <w:t>bus</w:t>
        </w:r>
        <w:r w:rsidR="00D31B8C" w:rsidRPr="00612C1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D31B8C" w:rsidRPr="00612C15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proofErr w:type="spellEnd"/>
        <w:r w:rsidR="00D31B8C" w:rsidRPr="00612C1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D31B8C" w:rsidRPr="00612C15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D31B8C" w:rsidRPr="00612C15">
        <w:rPr>
          <w:sz w:val="28"/>
          <w:szCs w:val="28"/>
          <w:shd w:val="clear" w:color="auto" w:fill="FFFFFF"/>
        </w:rPr>
        <w:t>).</w:t>
      </w:r>
    </w:p>
    <w:p w:rsidR="00D31B8C" w:rsidRPr="00612C15" w:rsidRDefault="00D31B8C" w:rsidP="00D31B8C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2C15">
        <w:rPr>
          <w:sz w:val="28"/>
          <w:szCs w:val="28"/>
        </w:rPr>
        <w:tab/>
        <w:t>2. В нарушении пункта 14 СГС «Концептуальные основы» единая учетная политика при централизации учета МУ «ЦБ» не формировалась и не размещалась в информационно-телекоммуникационной сети "Интернет";</w:t>
      </w:r>
    </w:p>
    <w:p w:rsidR="00D31B8C" w:rsidRPr="00612C15" w:rsidRDefault="00D31B8C" w:rsidP="00D31B8C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2C15">
        <w:rPr>
          <w:sz w:val="28"/>
          <w:szCs w:val="28"/>
        </w:rPr>
        <w:tab/>
        <w:t>3. В нарушение Постановления администрации Ивантеевского муниципального района от 02.11.2020 г. № 414 «Об оплате труда работников муниципальных бюджетных, казе</w:t>
      </w:r>
      <w:bookmarkStart w:id="0" w:name="_GoBack"/>
      <w:bookmarkEnd w:id="0"/>
      <w:r w:rsidRPr="00612C15">
        <w:rPr>
          <w:sz w:val="28"/>
          <w:szCs w:val="28"/>
        </w:rPr>
        <w:t xml:space="preserve">нных и автономных учреждений образования Ивантеевского муниципального района Саратовской области» не внесены изменения в Положение «Об оплате труда работников Учреждения». </w:t>
      </w:r>
    </w:p>
    <w:p w:rsidR="00D31B8C" w:rsidRPr="00612C15" w:rsidRDefault="00D31B8C" w:rsidP="00D31B8C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2C15">
        <w:rPr>
          <w:sz w:val="28"/>
          <w:szCs w:val="28"/>
        </w:rPr>
        <w:tab/>
        <w:t>4. В нарушении п.302.1 приказа Минфина России от 01.12.2010 № 157н "Об утвержде</w:t>
      </w:r>
      <w:r w:rsidRPr="00612C15">
        <w:rPr>
          <w:sz w:val="28"/>
          <w:szCs w:val="28"/>
        </w:rPr>
        <w:softHyphen/>
        <w:t>нии Единого плана счетов бухгалтерского учета для органов государственной власти (гос</w:t>
      </w:r>
      <w:r w:rsidRPr="00612C15">
        <w:rPr>
          <w:sz w:val="28"/>
          <w:szCs w:val="28"/>
        </w:rPr>
        <w:softHyphen/>
        <w:t>ударственных органов)</w:t>
      </w:r>
      <w:proofErr w:type="gramStart"/>
      <w:r w:rsidRPr="00612C15">
        <w:rPr>
          <w:sz w:val="28"/>
          <w:szCs w:val="28"/>
        </w:rPr>
        <w:t>,о</w:t>
      </w:r>
      <w:proofErr w:type="gramEnd"/>
      <w:r w:rsidRPr="00612C15">
        <w:rPr>
          <w:sz w:val="28"/>
          <w:szCs w:val="28"/>
        </w:rPr>
        <w:t>рганов местного самоуправления, органов управления государ</w:t>
      </w:r>
      <w:r w:rsidRPr="00612C15">
        <w:rPr>
          <w:sz w:val="28"/>
          <w:szCs w:val="28"/>
        </w:rPr>
        <w:softHyphen/>
        <w:t>ственными внебюджетными фондами, государственных академий наук, государственных (муниципальных) учреждений» резерв предстоящей оплаты отпусков за фактически отра</w:t>
      </w:r>
      <w:r w:rsidRPr="00612C15">
        <w:rPr>
          <w:sz w:val="28"/>
          <w:szCs w:val="28"/>
        </w:rPr>
        <w:softHyphen/>
        <w:t>ботанное время или компенсаций за неиспользованный отпуск не создавался.</w:t>
      </w:r>
    </w:p>
    <w:p w:rsidR="00D31B8C" w:rsidRPr="00612C15" w:rsidRDefault="00D31B8C" w:rsidP="00D31B8C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2C15">
        <w:rPr>
          <w:sz w:val="28"/>
          <w:szCs w:val="28"/>
        </w:rPr>
        <w:tab/>
        <w:t xml:space="preserve">5. </w:t>
      </w:r>
      <w:proofErr w:type="gramStart"/>
      <w:r w:rsidRPr="00612C15">
        <w:rPr>
          <w:sz w:val="28"/>
          <w:szCs w:val="28"/>
        </w:rPr>
        <w:t xml:space="preserve">В нарушение требований, установленных </w:t>
      </w:r>
      <w:hyperlink r:id="rId7" w:history="1">
        <w:r w:rsidRPr="00612C15">
          <w:rPr>
            <w:rStyle w:val="a6"/>
            <w:color w:val="auto"/>
            <w:sz w:val="28"/>
            <w:szCs w:val="28"/>
            <w:u w:val="none"/>
          </w:rPr>
          <w:t>частью 1 статьи 13</w:t>
        </w:r>
      </w:hyperlink>
      <w:r w:rsidRPr="00612C15">
        <w:rPr>
          <w:sz w:val="28"/>
          <w:szCs w:val="28"/>
        </w:rPr>
        <w:t xml:space="preserve"> Федерального закона РФ от 06.12.2011 года № 402-ФЗ «О бухгалтерском учете», </w:t>
      </w:r>
      <w:hyperlink r:id="rId8" w:history="1">
        <w:r w:rsidRPr="00612C15">
          <w:rPr>
            <w:rStyle w:val="a6"/>
            <w:color w:val="auto"/>
            <w:sz w:val="28"/>
            <w:szCs w:val="28"/>
            <w:u w:val="none"/>
          </w:rPr>
          <w:t>абзацем первым пункта 333</w:t>
        </w:r>
      </w:hyperlink>
      <w:r w:rsidRPr="00612C15">
        <w:rPr>
          <w:sz w:val="28"/>
          <w:szCs w:val="28"/>
        </w:rPr>
        <w:t xml:space="preserve"> Приказа Министерства финансов РФ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 w:rsidRPr="00612C15">
        <w:rPr>
          <w:sz w:val="28"/>
          <w:szCs w:val="28"/>
        </w:rPr>
        <w:lastRenderedPageBreak/>
        <w:t>(муниципальных) учреждений и Инструкции по</w:t>
      </w:r>
      <w:proofErr w:type="gramEnd"/>
      <w:r w:rsidRPr="00612C15">
        <w:rPr>
          <w:sz w:val="28"/>
          <w:szCs w:val="28"/>
        </w:rPr>
        <w:t xml:space="preserve"> </w:t>
      </w:r>
      <w:proofErr w:type="gramStart"/>
      <w:r w:rsidRPr="00612C15">
        <w:rPr>
          <w:sz w:val="28"/>
          <w:szCs w:val="28"/>
        </w:rPr>
        <w:t xml:space="preserve">его применению", </w:t>
      </w:r>
      <w:hyperlink r:id="rId9" w:history="1">
        <w:r w:rsidRPr="00612C15">
          <w:rPr>
            <w:rStyle w:val="a6"/>
            <w:color w:val="auto"/>
            <w:sz w:val="28"/>
            <w:szCs w:val="28"/>
            <w:u w:val="none"/>
          </w:rPr>
          <w:t>абзацем вторым пункта 21</w:t>
        </w:r>
      </w:hyperlink>
      <w:r w:rsidRPr="00612C15">
        <w:rPr>
          <w:sz w:val="28"/>
          <w:szCs w:val="28"/>
        </w:rPr>
        <w:t xml:space="preserve"> </w:t>
      </w:r>
      <w:r w:rsidRPr="00612C15">
        <w:rPr>
          <w:sz w:val="28"/>
          <w:szCs w:val="28"/>
          <w:shd w:val="clear" w:color="auto" w:fill="FFFFFF"/>
        </w:rPr>
        <w:t>Приказа Минфина России от 25.03.2011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612C15">
        <w:rPr>
          <w:sz w:val="28"/>
          <w:szCs w:val="28"/>
        </w:rPr>
        <w:t xml:space="preserve">, Учреждение не учитывало автотранспортное средство на </w:t>
      </w:r>
      <w:proofErr w:type="spellStart"/>
      <w:r w:rsidRPr="00612C15">
        <w:rPr>
          <w:sz w:val="28"/>
          <w:szCs w:val="28"/>
        </w:rPr>
        <w:t>забалансовом</w:t>
      </w:r>
      <w:proofErr w:type="spellEnd"/>
      <w:r w:rsidRPr="00612C15">
        <w:rPr>
          <w:sz w:val="28"/>
          <w:szCs w:val="28"/>
        </w:rPr>
        <w:t xml:space="preserve"> счете 01 "Имущество, полученное в пользование", что привело к искажению (занижению) данных </w:t>
      </w:r>
      <w:hyperlink r:id="rId10" w:history="1">
        <w:r w:rsidRPr="00612C15">
          <w:rPr>
            <w:rStyle w:val="a6"/>
            <w:color w:val="auto"/>
            <w:sz w:val="28"/>
            <w:szCs w:val="28"/>
            <w:u w:val="none"/>
          </w:rPr>
          <w:t>строки 010</w:t>
        </w:r>
      </w:hyperlink>
      <w:r w:rsidRPr="00612C15">
        <w:rPr>
          <w:sz w:val="28"/>
          <w:szCs w:val="28"/>
        </w:rPr>
        <w:t xml:space="preserve"> Справки о наличии имущества и обязательств на </w:t>
      </w:r>
      <w:proofErr w:type="spellStart"/>
      <w:r w:rsidRPr="00612C15">
        <w:rPr>
          <w:sz w:val="28"/>
          <w:szCs w:val="28"/>
        </w:rPr>
        <w:t>забалансовых</w:t>
      </w:r>
      <w:proofErr w:type="spellEnd"/>
      <w:r w:rsidRPr="00612C15">
        <w:rPr>
          <w:sz w:val="28"/>
          <w:szCs w:val="28"/>
        </w:rPr>
        <w:t xml:space="preserve"> счетах в</w:t>
      </w:r>
      <w:proofErr w:type="gramEnd"/>
      <w:r w:rsidRPr="00612C15">
        <w:rPr>
          <w:sz w:val="28"/>
          <w:szCs w:val="28"/>
        </w:rPr>
        <w:t xml:space="preserve"> </w:t>
      </w:r>
      <w:proofErr w:type="gramStart"/>
      <w:r w:rsidRPr="00612C15">
        <w:rPr>
          <w:sz w:val="28"/>
          <w:szCs w:val="28"/>
        </w:rPr>
        <w:t>составе</w:t>
      </w:r>
      <w:proofErr w:type="gramEnd"/>
      <w:r w:rsidRPr="00612C15">
        <w:rPr>
          <w:sz w:val="28"/>
          <w:szCs w:val="28"/>
        </w:rPr>
        <w:t xml:space="preserve"> Баланса государственного (муниципального) учреждения </w:t>
      </w:r>
      <w:hyperlink r:id="rId11" w:history="1">
        <w:r w:rsidRPr="00612C15">
          <w:rPr>
            <w:rStyle w:val="a6"/>
            <w:color w:val="auto"/>
            <w:sz w:val="28"/>
            <w:szCs w:val="28"/>
            <w:u w:val="none"/>
          </w:rPr>
          <w:t>(ф. 0503730)</w:t>
        </w:r>
      </w:hyperlink>
      <w:r w:rsidRPr="00612C15">
        <w:rPr>
          <w:sz w:val="28"/>
          <w:szCs w:val="28"/>
        </w:rPr>
        <w:t xml:space="preserve"> на 01.01.2021 года.</w:t>
      </w:r>
    </w:p>
    <w:p w:rsidR="00D31B8C" w:rsidRPr="00612C15" w:rsidRDefault="00D31B8C" w:rsidP="00D31B8C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2C15">
        <w:rPr>
          <w:sz w:val="28"/>
          <w:szCs w:val="28"/>
        </w:rPr>
        <w:tab/>
        <w:t xml:space="preserve">6. </w:t>
      </w:r>
      <w:proofErr w:type="gramStart"/>
      <w:r w:rsidRPr="00612C15">
        <w:rPr>
          <w:sz w:val="28"/>
          <w:szCs w:val="28"/>
        </w:rPr>
        <w:t xml:space="preserve">В нарушение требований, установленных ч.1 с. 13 Федерального закона РФ от 06.12.2011 года № 402-ФЗ «О бухгалтерском учете», </w:t>
      </w:r>
      <w:hyperlink r:id="rId12" w:history="1">
        <w:r w:rsidRPr="00612C15">
          <w:rPr>
            <w:sz w:val="28"/>
            <w:szCs w:val="28"/>
          </w:rPr>
          <w:t>п. п. 71</w:t>
        </w:r>
      </w:hyperlink>
      <w:r w:rsidRPr="00612C15">
        <w:rPr>
          <w:sz w:val="28"/>
          <w:szCs w:val="28"/>
        </w:rPr>
        <w:t xml:space="preserve">, </w:t>
      </w:r>
      <w:hyperlink r:id="rId13" w:history="1">
        <w:r w:rsidRPr="00612C15">
          <w:rPr>
            <w:sz w:val="28"/>
            <w:szCs w:val="28"/>
          </w:rPr>
          <w:t>78</w:t>
        </w:r>
      </w:hyperlink>
      <w:r w:rsidRPr="00612C15">
        <w:rPr>
          <w:sz w:val="28"/>
          <w:szCs w:val="28"/>
        </w:rPr>
        <w:t xml:space="preserve"> Приказа Министерства финансов РФ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Pr="00612C15">
        <w:rPr>
          <w:sz w:val="28"/>
          <w:szCs w:val="28"/>
        </w:rPr>
        <w:t xml:space="preserve"> </w:t>
      </w:r>
      <w:proofErr w:type="gramStart"/>
      <w:r w:rsidRPr="00612C15">
        <w:rPr>
          <w:sz w:val="28"/>
          <w:szCs w:val="28"/>
        </w:rPr>
        <w:t xml:space="preserve">его применению", Приказа Минфина России от 28.02.2018 N 34н "Об утверждении федерального стандарта бухгалтерского учета для организаций государственного сектора "Непроизведенные активы"  земельные участки не приняты к бухгалтерскому учету и не учтены на соответствующем счете аналитического учета счета 10300 "Непроизведенные активы", что привело к искажению (занижения) </w:t>
      </w:r>
      <w:r w:rsidRPr="00612C15">
        <w:rPr>
          <w:sz w:val="28"/>
          <w:szCs w:val="28"/>
          <w:shd w:val="clear" w:color="auto" w:fill="FFFFFF"/>
        </w:rPr>
        <w:t xml:space="preserve">показателей </w:t>
      </w:r>
      <w:r w:rsidRPr="00612C15">
        <w:rPr>
          <w:sz w:val="28"/>
          <w:szCs w:val="28"/>
        </w:rPr>
        <w:t>Баланса государственного (муниципального) учреждения (ф.0503730)</w:t>
      </w:r>
      <w:r w:rsidRPr="00612C15">
        <w:rPr>
          <w:sz w:val="28"/>
          <w:szCs w:val="28"/>
          <w:shd w:val="clear" w:color="auto" w:fill="FFFFFF"/>
        </w:rPr>
        <w:t xml:space="preserve"> на 01.01.2021 года.</w:t>
      </w:r>
      <w:proofErr w:type="gramEnd"/>
    </w:p>
    <w:p w:rsidR="00D31B8C" w:rsidRPr="00612C15" w:rsidRDefault="00D31B8C" w:rsidP="00D31B8C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2C15">
        <w:rPr>
          <w:sz w:val="28"/>
          <w:szCs w:val="28"/>
        </w:rPr>
        <w:tab/>
        <w:t xml:space="preserve">7. </w:t>
      </w:r>
      <w:proofErr w:type="gramStart"/>
      <w:r w:rsidRPr="00612C15">
        <w:rPr>
          <w:sz w:val="28"/>
          <w:szCs w:val="28"/>
        </w:rPr>
        <w:t>В нарушение пункта 1 статьи 69.2 Бюджетного Кодекса РФ, Постановления администрации Ивантеевского муниципального района Саратовской области от 22.12.2015 года № 580 «Об утверждении положения о порядке формирования муниципального задания на оказание муниципальных услуг (выполнения работ) в отношении муниципальных учреждений Ивантеевского муниципального района Саратовской области и финансового обеспечения выполнения муниципального задания» муниципальное задание не содержит порядок контроля за исполнением государственного (муниципального) задания</w:t>
      </w:r>
      <w:proofErr w:type="gramEnd"/>
      <w:r w:rsidRPr="00612C15">
        <w:rPr>
          <w:sz w:val="28"/>
          <w:szCs w:val="28"/>
        </w:rPr>
        <w:t>, в том числе условия и порядок его досрочного прекращения, а так же требования к отчетности об исполнении государственного (муниципального) задания.</w:t>
      </w:r>
    </w:p>
    <w:p w:rsidR="00D31B8C" w:rsidRPr="00612C15" w:rsidRDefault="00D31B8C" w:rsidP="00D31B8C">
      <w:pPr>
        <w:ind w:firstLine="540"/>
        <w:jc w:val="both"/>
        <w:rPr>
          <w:sz w:val="28"/>
          <w:szCs w:val="28"/>
        </w:rPr>
      </w:pPr>
      <w:r w:rsidRPr="00612C15">
        <w:rPr>
          <w:sz w:val="28"/>
          <w:szCs w:val="28"/>
        </w:rPr>
        <w:t xml:space="preserve">8. Не обоснованные расходы </w:t>
      </w:r>
      <w:r w:rsidR="00BB5102" w:rsidRPr="00612C15">
        <w:rPr>
          <w:sz w:val="28"/>
          <w:szCs w:val="28"/>
        </w:rPr>
        <w:t>в</w:t>
      </w:r>
      <w:r w:rsidRPr="00612C15">
        <w:rPr>
          <w:sz w:val="28"/>
          <w:szCs w:val="28"/>
        </w:rPr>
        <w:t xml:space="preserve"> сумме 42690,14 рублей.</w:t>
      </w:r>
    </w:p>
    <w:p w:rsidR="00D31B8C" w:rsidRPr="00612C15" w:rsidRDefault="00D31B8C" w:rsidP="00D31B8C">
      <w:pPr>
        <w:ind w:firstLine="540"/>
        <w:jc w:val="both"/>
        <w:rPr>
          <w:sz w:val="28"/>
          <w:szCs w:val="28"/>
        </w:rPr>
      </w:pPr>
      <w:r w:rsidRPr="00612C15">
        <w:rPr>
          <w:sz w:val="28"/>
          <w:szCs w:val="28"/>
        </w:rPr>
        <w:t>9. Неэффективное использование средств на уплату пени за нарушение налогового законодательства в сумме 12754,41 рублей.</w:t>
      </w:r>
    </w:p>
    <w:p w:rsidR="009D2F15" w:rsidRPr="00612C15" w:rsidRDefault="009D2F15" w:rsidP="00D31B8C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2C15">
        <w:rPr>
          <w:sz w:val="28"/>
          <w:szCs w:val="28"/>
        </w:rPr>
        <w:tab/>
        <w:t>По итогам проверки руководителю объекта проверки выдано обязательное для исполнения представление.</w:t>
      </w:r>
    </w:p>
    <w:p w:rsidR="00C75450" w:rsidRPr="00612C15" w:rsidRDefault="007E1921" w:rsidP="00C75450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2C15">
        <w:rPr>
          <w:sz w:val="28"/>
          <w:szCs w:val="28"/>
        </w:rPr>
        <w:tab/>
      </w:r>
    </w:p>
    <w:sectPr w:rsidR="00C75450" w:rsidRPr="0061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D"/>
    <w:rsid w:val="00084C7F"/>
    <w:rsid w:val="00177A6D"/>
    <w:rsid w:val="001E43FB"/>
    <w:rsid w:val="002C5028"/>
    <w:rsid w:val="003C344B"/>
    <w:rsid w:val="00424A3C"/>
    <w:rsid w:val="005800DF"/>
    <w:rsid w:val="00612C15"/>
    <w:rsid w:val="00624C64"/>
    <w:rsid w:val="00664E06"/>
    <w:rsid w:val="007E1921"/>
    <w:rsid w:val="008C45F9"/>
    <w:rsid w:val="0093036D"/>
    <w:rsid w:val="0095550D"/>
    <w:rsid w:val="009D2F15"/>
    <w:rsid w:val="00AF4771"/>
    <w:rsid w:val="00BB5102"/>
    <w:rsid w:val="00BD4247"/>
    <w:rsid w:val="00C75450"/>
    <w:rsid w:val="00D31B8C"/>
    <w:rsid w:val="00DD4C7C"/>
    <w:rsid w:val="00EF5537"/>
    <w:rsid w:val="00F900FF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54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rsid w:val="00C75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7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545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84C7F"/>
    <w:rPr>
      <w:color w:val="0000FF"/>
      <w:u w:val="single"/>
    </w:rPr>
  </w:style>
  <w:style w:type="paragraph" w:customStyle="1" w:styleId="headertext">
    <w:name w:val="headertext"/>
    <w:basedOn w:val="a"/>
    <w:rsid w:val="00D31B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54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rsid w:val="00C75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7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545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84C7F"/>
    <w:rPr>
      <w:color w:val="0000FF"/>
      <w:u w:val="single"/>
    </w:rPr>
  </w:style>
  <w:style w:type="paragraph" w:customStyle="1" w:styleId="headertext">
    <w:name w:val="headertext"/>
    <w:basedOn w:val="a"/>
    <w:rsid w:val="00D31B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4484&amp;dst=2848&amp;field=134&amp;date=22.11.2021" TargetMode="External"/><Relationship Id="rId13" Type="http://schemas.openxmlformats.org/officeDocument/2006/relationships/hyperlink" Target="https://login.consultant.ru/link/?req=doc&amp;base=LAW&amp;n=364484&amp;dst=102220&amp;field=134&amp;date=24.11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27805&amp;dst=100330&amp;field=134&amp;date=22.11.2021" TargetMode="External"/><Relationship Id="rId12" Type="http://schemas.openxmlformats.org/officeDocument/2006/relationships/hyperlink" Target="https://login.consultant.ru/link/?req=doc&amp;base=LAW&amp;n=364484&amp;dst=100698&amp;field=134&amp;date=24.11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https://login.consultant.ru/link/?req=doc&amp;base=LAW&amp;n=391372&amp;dst=2991&amp;field=134&amp;date=22.11.2021" TargetMode="External"/><Relationship Id="rId5" Type="http://schemas.openxmlformats.org/officeDocument/2006/relationships/hyperlink" Target="https://docs.cntd.ru/document/90229077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91372&amp;dst=3273&amp;field=134&amp;date=22.1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1372&amp;dst=1700&amp;field=134&amp;date=22.11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14</cp:revision>
  <dcterms:created xsi:type="dcterms:W3CDTF">2021-05-27T09:26:00Z</dcterms:created>
  <dcterms:modified xsi:type="dcterms:W3CDTF">2021-12-29T06:49:00Z</dcterms:modified>
</cp:coreProperties>
</file>