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6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земельных участков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02.12.2021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г.</w:t>
      </w:r>
      <w:r>
        <w:rPr>
          <w:sz w:val="24"/>
          <w:szCs w:val="24"/>
        </w:rPr>
        <w:t xml:space="preserve">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 xml:space="preserve"> 535</w:t>
      </w:r>
      <w:r>
        <w:rPr>
          <w:sz w:val="24"/>
          <w:szCs w:val="24"/>
        </w:rPr>
        <w:t>;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02.12.2021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536</w:t>
      </w:r>
      <w:r>
        <w:rPr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02.12.2021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537.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25 января 2022</w:t>
      </w:r>
      <w:r>
        <w:rPr>
          <w:b/>
          <w:color w:val="000000"/>
          <w:sz w:val="24"/>
          <w:szCs w:val="24"/>
        </w:rPr>
        <w:t>г</w:t>
      </w:r>
      <w:r>
        <w:rPr>
          <w:b/>
          <w:sz w:val="24"/>
          <w:szCs w:val="24"/>
        </w:rPr>
        <w:t>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color w:val="111111"/>
          <w:sz w:val="24"/>
          <w:szCs w:val="24"/>
        </w:rPr>
        <w:t>с</w:t>
      </w:r>
      <w:r>
        <w:rPr>
          <w:color w:val="C9211E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 xml:space="preserve">24 декабря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2021</w:t>
      </w:r>
      <w:r>
        <w:rPr>
          <w:b/>
          <w:bCs/>
          <w:color w:val="000000"/>
          <w:sz w:val="24"/>
          <w:szCs w:val="24"/>
        </w:rPr>
        <w:t>г</w:t>
      </w:r>
      <w:r>
        <w:rPr>
          <w:b/>
          <w:bCs/>
          <w:color w:val="111111"/>
          <w:sz w:val="24"/>
          <w:szCs w:val="24"/>
        </w:rPr>
        <w:t xml:space="preserve">.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19 января 2022</w:t>
      </w:r>
      <w:r>
        <w:rPr>
          <w:b/>
          <w:bCs/>
          <w:color w:val="000000"/>
          <w:sz w:val="24"/>
          <w:szCs w:val="24"/>
        </w:rPr>
        <w:t>г</w:t>
      </w:r>
      <w:r>
        <w:rPr>
          <w:b/>
          <w:bCs/>
          <w:sz w:val="24"/>
          <w:szCs w:val="24"/>
        </w:rPr>
        <w:t>, 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000000"/>
          <w:kern w:val="0"/>
          <w:sz w:val="24"/>
          <w:szCs w:val="24"/>
          <w:highlight w:val="white"/>
          <w:lang w:val="ru-RU" w:eastAsia="ru-RU" w:bidi="ar-SA"/>
        </w:rPr>
        <w:t>19 января 2022</w:t>
      </w:r>
      <w:r>
        <w:rPr>
          <w:b/>
          <w:color w:val="000000"/>
          <w:sz w:val="24"/>
          <w:szCs w:val="24"/>
        </w:rPr>
        <w:t xml:space="preserve">г. </w:t>
      </w:r>
      <w:r>
        <w:rPr>
          <w:b/>
          <w:sz w:val="24"/>
          <w:szCs w:val="24"/>
        </w:rPr>
        <w:t>в 1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25 января 2022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г.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заключения договора аренды земельного участка:</w:t>
      </w:r>
    </w:p>
    <w:tbl>
      <w:tblPr>
        <w:tblW w:w="9765" w:type="dxa"/>
        <w:jc w:val="left"/>
        <w:tblInd w:w="-6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0"/>
        <w:gridCol w:w="1969"/>
        <w:gridCol w:w="836"/>
        <w:gridCol w:w="1775"/>
        <w:gridCol w:w="973"/>
        <w:gridCol w:w="1205"/>
        <w:gridCol w:w="1079"/>
        <w:gridCol w:w="1346"/>
      </w:tblGrid>
      <w:tr>
        <w:trPr>
          <w:trHeight w:val="67" w:hRule="atLeast"/>
          <w:cantSplit w:val="true"/>
        </w:trPr>
        <w:tc>
          <w:tcPr>
            <w:tcW w:w="5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Размер задатка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ru-RU" w:eastAsia="ru-RU" w:bidi="ar-SA"/>
              </w:rPr>
              <w:t>Саратовская область, Ивантеевский район, с Ивантеевка, ул. Гражданская, 50м к юго-западу от дома №19А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sz w:val="20"/>
                <w:szCs w:val="20"/>
              </w:rPr>
              <w:t>, категория земель: земли населенных пунктов, с видом разрешен-ного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лич-ного подсобного хо-зяйства. Земельный участок обременен охранной зоной объектов электро-сетевого хозяйства и водоохранной зоной р.Чернава</w:t>
            </w:r>
            <w:r>
              <w:rPr/>
              <w:t xml:space="preserve">,  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220411</w:t>
            </w:r>
            <w:r>
              <w:rPr>
                <w:rFonts w:eastAsia="Times New Roman CYR"/>
                <w:bCs/>
              </w:rPr>
              <w:t>:228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946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2112,00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сто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63 (шестьдесят три) рубля </w:t>
            </w:r>
            <w:r>
              <w:rPr/>
              <w:t>00 копеек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1056,00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пятьдесят шесть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bookmarkStart w:id="0" w:name="__DdeLink__932_3942379125"/>
            <w:bookmarkEnd w:id="0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 Арбузовка, ул. Булычевская в 30м на юго-восток от жи-лого дома 75, катего-рия земель: земли населенных пунктов, </w:t>
            </w:r>
            <w:r>
              <w:rPr>
                <w:sz w:val="20"/>
                <w:szCs w:val="20"/>
              </w:rPr>
              <w:t>с видом разрешен-ного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лич-ного подсобного хозяйства». Земель-ный участок обре-менен охранной зоной наземного газопровода и водо-охранной зоной р.Малый Иргиз.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230101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1347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2323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4922</w:t>
            </w:r>
            <w:bookmarkStart w:id="1" w:name="__DdeLink__1694_3331797524"/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четыре тысячи девятьсот двадцать два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/>
              <w:t xml:space="preserve"> 00 копеек</w:t>
            </w:r>
            <w:bookmarkEnd w:id="1"/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148 (сто сорок восемь) рублей </w:t>
            </w:r>
            <w:r>
              <w:rPr/>
              <w:t>00 копеек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2461,00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четыреста шестьдесят один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 Арбузовка, ул. Булычевская в 50м на юго-восток от жи-лого дома 75, кате-гория земель: земли населенных пунктов, </w:t>
            </w:r>
            <w:r>
              <w:rPr>
                <w:sz w:val="20"/>
                <w:szCs w:val="20"/>
              </w:rPr>
              <w:t>с видом разрешен-ного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хозяйства». Ограничений, обременений земельного участка не установлено.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7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230101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1348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2500</w:t>
            </w:r>
          </w:p>
        </w:tc>
        <w:tc>
          <w:tcPr>
            <w:tcW w:w="120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5297</w:t>
            </w:r>
            <w:bookmarkStart w:id="2" w:name="__DdeLink__1694_33317975241"/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двести девяносто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  <w:bookmarkEnd w:id="2"/>
          </w:p>
        </w:tc>
        <w:tc>
          <w:tcPr>
            <w:tcW w:w="107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159 (сто пятьдесят девять) рублей </w:t>
            </w:r>
            <w:r>
              <w:rPr/>
              <w:t>00 копеек</w:t>
            </w:r>
          </w:p>
        </w:tc>
        <w:tc>
          <w:tcPr>
            <w:tcW w:w="134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2649,00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шестьсот сорок девять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b/>
          <w:sz w:val="24"/>
          <w:szCs w:val="24"/>
        </w:rPr>
        <w:t>. Параметры разрешенного строительства объектов капитального строительства для Лота №1 в соответствии с действующими правилами землепользования и застройки территории Ивантеевского муниципального образования Ивантеевского муниципального района Саратовской области:</w:t>
      </w:r>
    </w:p>
    <w:p>
      <w:pPr>
        <w:pStyle w:val="Normal"/>
        <w:ind w:firstLine="227"/>
        <w:rPr/>
      </w:pPr>
      <w:r>
        <w:rPr>
          <w:rFonts w:ascii="TimesNewRomanPSMT" w:hAnsi="TimesNewRomanPSMT"/>
          <w:sz w:val="24"/>
        </w:rPr>
        <w:t>1.  минимальная ширина земельных участков вдоль фронта улицы (проезда)- не установлено, максимальная ширина земельных участков 32м;</w:t>
      </w:r>
    </w:p>
    <w:p>
      <w:pPr>
        <w:pStyle w:val="Normal"/>
        <w:ind w:firstLine="283"/>
        <w:rPr/>
      </w:pPr>
      <w:r>
        <w:rPr>
          <w:rFonts w:ascii="TimesNewRomanPSMT" w:hAnsi="TimesNewRomanPSMT"/>
          <w:sz w:val="24"/>
        </w:rPr>
        <w:t>2. максимальное количество этажей зданий - 5;</w:t>
      </w:r>
    </w:p>
    <w:p>
      <w:pPr>
        <w:pStyle w:val="Normal"/>
        <w:ind w:firstLine="283"/>
        <w:rPr/>
      </w:pPr>
      <w:r>
        <w:rPr>
          <w:rFonts w:ascii="TimesNewRomanPSMT" w:hAnsi="TimesNewRomanPSMT"/>
          <w:sz w:val="24"/>
        </w:rPr>
        <w:t>3. максимальная высота зданий от уровня земли до верха перекрытия</w:t>
      </w:r>
    </w:p>
    <w:p>
      <w:pPr>
        <w:pStyle w:val="Normal"/>
        <w:rPr/>
      </w:pPr>
      <w:r>
        <w:rPr>
          <w:rFonts w:ascii="TimesNewRomanPSMT" w:hAnsi="TimesNewRomanPSMT"/>
          <w:sz w:val="24"/>
        </w:rPr>
        <w:t>последнего этажа - 20 м;</w:t>
      </w:r>
    </w:p>
    <w:p>
      <w:pPr>
        <w:pStyle w:val="Normal"/>
        <w:ind w:firstLine="283"/>
        <w:rPr/>
      </w:pPr>
      <w:r>
        <w:rPr>
          <w:rFonts w:ascii="TimesNewRomanPSMT" w:hAnsi="TimesNewRomanPSMT"/>
          <w:sz w:val="24"/>
        </w:rPr>
        <w:t>4. максимальный процент застройки участка - 60%;</w:t>
      </w:r>
    </w:p>
    <w:p>
      <w:pPr>
        <w:pStyle w:val="Normal"/>
        <w:ind w:firstLine="283"/>
        <w:rPr>
          <w:sz w:val="22"/>
          <w:szCs w:val="22"/>
        </w:rPr>
      </w:pPr>
      <w:r>
        <w:rPr>
          <w:sz w:val="22"/>
          <w:szCs w:val="22"/>
        </w:rPr>
        <w:t>5. минимальный отступ строений от передней границы участка (в случае,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если иной показатель не установлен линией регулирования застройки) - 5 м;</w:t>
      </w:r>
    </w:p>
    <w:p>
      <w:pPr>
        <w:pStyle w:val="Normal"/>
        <w:ind w:firstLine="283"/>
        <w:rPr>
          <w:sz w:val="22"/>
          <w:szCs w:val="22"/>
        </w:rPr>
      </w:pPr>
      <w:r>
        <w:rPr>
          <w:sz w:val="22"/>
          <w:szCs w:val="22"/>
        </w:rPr>
        <w:t>6. минимальный отступ от границ соседнего участка до жилого дома ~ 3 м;</w:t>
      </w:r>
    </w:p>
    <w:p>
      <w:pPr>
        <w:pStyle w:val="Normal"/>
        <w:ind w:firstLine="283"/>
        <w:rPr>
          <w:sz w:val="22"/>
          <w:szCs w:val="22"/>
        </w:rPr>
      </w:pPr>
      <w:r>
        <w:rPr>
          <w:sz w:val="22"/>
          <w:szCs w:val="22"/>
        </w:rPr>
        <w:t>7. минимальный отступ от границ соседнего участка до вспомогательных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строений (бани, гаражи и др.) - 1 м;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8. минимальный отступ от жилого дома до построек для содержания 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разведения домашнего скота и птицы - 10м;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9. требования к ограждению земельных участков: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- ограждения со стороны улиц должны выполняться в соответствии с требованиями утвержденными органами местного самоуправления и согласованными органом. уполномоченным в области архитектуры и градостроительства;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- высота ограждения земельных участков должна быть не более 2 м;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- ограждения между смежными земельными участками должны быть проветриваемыми на высоту не менее 0,3 м от уровня земли;</w:t>
      </w:r>
    </w:p>
    <w:p>
      <w:pPr>
        <w:pStyle w:val="Normal"/>
        <w:ind w:firstLine="283"/>
        <w:jc w:val="both"/>
        <w:rPr/>
      </w:pPr>
      <w:r>
        <w:rPr>
          <w:sz w:val="22"/>
          <w:szCs w:val="22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) лицы.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Допускается блокировка жилых домов, а также хозяйственных построек (в том числе уменьшение расстояний между ними) на смежных приусадебных земельных участках по взаимному согласию собственников с учетом противопожарных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требований.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  <w:r>
        <w:rPr>
          <w:rFonts w:eastAsia="SimSun"/>
          <w:kern w:val="2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jc w:val="both"/>
        <w:rPr/>
      </w:pPr>
      <w:r>
        <w:rPr>
          <w:b/>
          <w:sz w:val="24"/>
          <w:szCs w:val="24"/>
        </w:rPr>
        <w:t xml:space="preserve">  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ru-RU"/>
        </w:rPr>
        <w:t>И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нформаци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я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b/>
          <w:bCs/>
          <w:sz w:val="24"/>
          <w:szCs w:val="24"/>
        </w:rPr>
        <w:t xml:space="preserve"> 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1</w:t>
      </w:r>
      <w:bookmarkStart w:id="3" w:name="__DdeLink__53361_2653030480"/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Согласно письма Филиала ПАО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Размер платы за подключение определяется в соответствии с Методическими указаниями утвержденными постановлением ФСТ от 18.08.2018г. № 1151/18 и постановлени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ями</w:t>
      </w:r>
      <w:r>
        <w:rPr>
          <w:sz w:val="24"/>
          <w:szCs w:val="24"/>
        </w:rPr>
        <w:t xml:space="preserve">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Согласно письма ГУП «Облводоресурс»-«Ивантеевский»,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объект не может быть подключен к сетям центрального водопровода филиала ГУП СО «Облводоресурс»- «Ивантеевский» из-за грунтовых вод</w:t>
      </w:r>
      <w:r>
        <w:rPr>
          <w:sz w:val="24"/>
          <w:szCs w:val="24"/>
        </w:rPr>
        <w:t>.</w:t>
      </w:r>
      <w:bookmarkEnd w:id="3"/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>Электроснабжение возможно от источника питания ВЛ-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>0,4кВ, КПТ№ 748, ВЛ-1006,</w:t>
      </w:r>
      <w:r>
        <w:rPr>
          <w:rFonts w:ascii="Times New Roman" w:hAnsi="Times New Roman"/>
          <w:sz w:val="24"/>
          <w:szCs w:val="24"/>
        </w:rPr>
        <w:t xml:space="preserve"> ПС35кВ Ивантеевская.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>37/9 от 29.12.2020г., 2/5 от 22.01.2021г.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5.</w:t>
      </w:r>
      <w:r>
        <w:rPr>
          <w:b/>
          <w:color w:val="000000"/>
          <w:sz w:val="24"/>
          <w:szCs w:val="24"/>
        </w:rPr>
        <w:t xml:space="preserve"> Параметры разрешенного строительства объектов капитального строительства, для Лот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а</w:t>
      </w:r>
      <w:r>
        <w:rPr>
          <w:b/>
          <w:color w:val="000000"/>
          <w:sz w:val="24"/>
          <w:szCs w:val="24"/>
        </w:rPr>
        <w:t xml:space="preserve"> №2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и</w:t>
      </w:r>
      <w:r>
        <w:rPr>
          <w:b/>
          <w:color w:val="000000"/>
          <w:sz w:val="24"/>
          <w:szCs w:val="24"/>
        </w:rPr>
        <w:t xml:space="preserve"> Лот №3,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Раевского</w:t>
      </w:r>
      <w:r>
        <w:rPr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2. максимальное количество этажей зданий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3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12</w:t>
      </w:r>
      <w:r>
        <w:rPr>
          <w:rFonts w:eastAsia="SimSun"/>
          <w:kern w:val="2"/>
          <w:sz w:val="22"/>
          <w:szCs w:val="22"/>
          <w:lang w:eastAsia="ar-SA"/>
        </w:rPr>
        <w:t xml:space="preserve">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5м;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6. минимальный отступ от границ соседнего участка до жилого дома – 3м;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ar-SA"/>
        </w:rPr>
        <w:t xml:space="preserve">7. минимальный отступ от границ соседнего участка до вспомогательных строений (бани, гаражи и др.) – 1м;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 xml:space="preserve">8. минимальный отступ от жилого дома до построек для содержания и разведения домашнего скота и птицы – 10м; 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-высота ограждения земельных участков должна быть не более 2м;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-ограждения между смежными земельными участками должны быть проветриваемыми на высоту не менее 0,3м от уровня земли;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ind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b w:val="false"/>
          <w:bCs w:val="false"/>
          <w:color w:val="000000"/>
          <w:sz w:val="22"/>
          <w:szCs w:val="22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1C1C1C"/>
          <w:kern w:val="0"/>
          <w:sz w:val="24"/>
          <w:szCs w:val="24"/>
          <w:lang w:val="ru-RU" w:eastAsia="ru-RU" w:bidi="ar-SA"/>
        </w:rPr>
        <w:t>6</w:t>
      </w:r>
      <w:r>
        <w:rPr>
          <w:b/>
          <w:color w:val="1C1C1C"/>
          <w:sz w:val="24"/>
          <w:szCs w:val="24"/>
        </w:rPr>
        <w:t xml:space="preserve">. </w:t>
      </w:r>
      <w:r>
        <w:rPr>
          <w:b/>
          <w:bCs/>
          <w:color w:val="1C1C1C"/>
          <w:sz w:val="24"/>
          <w:szCs w:val="24"/>
          <w:lang w:val="ru-RU"/>
        </w:rPr>
        <w:t>И</w:t>
      </w:r>
      <w:r>
        <w:rPr>
          <w:b/>
          <w:bCs/>
          <w:i w:val="false"/>
          <w:caps w:val="false"/>
          <w:smallCaps w:val="false"/>
          <w:color w:val="1C1C1C"/>
          <w:spacing w:val="0"/>
          <w:sz w:val="24"/>
          <w:szCs w:val="24"/>
        </w:rPr>
        <w:t>нформаци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1C1C1C"/>
          <w:spacing w:val="0"/>
          <w:kern w:val="0"/>
          <w:sz w:val="24"/>
          <w:szCs w:val="24"/>
          <w:lang w:val="ru-RU" w:eastAsia="ru-RU" w:bidi="ar-SA"/>
        </w:rPr>
        <w:t>я</w:t>
      </w:r>
      <w:r>
        <w:rPr>
          <w:b/>
          <w:bCs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 о возможности подключения</w:t>
      </w:r>
      <w:r>
        <w:rPr>
          <w:b/>
          <w:color w:val="1C1C1C"/>
          <w:sz w:val="24"/>
          <w:szCs w:val="24"/>
        </w:rPr>
        <w:t xml:space="preserve">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jc w:val="both"/>
        <w:rPr>
          <w:color w:val="FF0000"/>
        </w:rPr>
      </w:pPr>
      <w:r>
        <w:rPr>
          <w:b/>
          <w:color w:val="1C1C1C"/>
          <w:sz w:val="24"/>
          <w:szCs w:val="24"/>
        </w:rPr>
        <w:tab/>
        <w:t>Лот № 2:</w:t>
      </w:r>
      <w:r>
        <w:rPr>
          <w:color w:val="FF0000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ab/>
        <w:t>1</w:t>
      </w:r>
      <w:bookmarkStart w:id="4" w:name="__DdeLink__53361_26530304801"/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Согласно письма Филиала ПАО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Размер платы за подключение определяется в соответствии с Методическими указаниями утвержденными постановлением ФСТ от 18.08.2018г. № 1151/18 и постановлени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ями</w:t>
      </w:r>
      <w:r>
        <w:rPr>
          <w:sz w:val="24"/>
          <w:szCs w:val="24"/>
        </w:rPr>
        <w:t xml:space="preserve"> комитета государственного регулирования тарифов Саратовской области.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bookmarkEnd w:id="4"/>
      <w:r>
        <w:rPr>
          <w:b/>
          <w:bCs/>
          <w:sz w:val="24"/>
          <w:szCs w:val="24"/>
        </w:rPr>
        <w:tab/>
        <w:t xml:space="preserve">2) 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Согласно письма Филиала ГУП СО «Облводоресурс»- «Ивантеевский», данный объект филиалом не обслуживается</w:t>
      </w:r>
      <w:r>
        <w:rPr>
          <w:sz w:val="24"/>
          <w:szCs w:val="24"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 xml:space="preserve"> 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Подключение к водоснабжению возможно от водопровода СХА «Заречье», по договоренности. 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ru-RU" w:eastAsia="en-US" w:bidi="ar-SA"/>
        </w:rPr>
        <w:tab/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>Электроснабжение возможно от источника питания ВЛ-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>0,4кВ, КПТ№ 634, ВЛ-1003,</w:t>
      </w:r>
      <w:r>
        <w:rPr>
          <w:rFonts w:ascii="Times New Roman" w:hAnsi="Times New Roman"/>
          <w:sz w:val="24"/>
          <w:szCs w:val="24"/>
        </w:rPr>
        <w:t xml:space="preserve"> ПС110кВ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>37/9 от 29.12.2020г., 2/5 от 22.01.2021г.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7. 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4"/>
        <w:ind w:hanging="0"/>
        <w:rPr/>
      </w:pPr>
      <w:r>
        <w:rPr>
          <w:sz w:val="24"/>
          <w:szCs w:val="24"/>
        </w:rPr>
        <w:tab/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>
          <w:color w:val="FF0000"/>
        </w:rPr>
      </w:pPr>
      <w:r>
        <w:rPr>
          <w:b/>
          <w:bCs/>
          <w:color w:val="111111"/>
          <w:sz w:val="24"/>
          <w:szCs w:val="24"/>
        </w:rPr>
        <w:t xml:space="preserve">8. Срок и порядок внесения задатка: </w:t>
      </w:r>
      <w:r>
        <w:rPr>
          <w:color w:val="111111"/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color w:val="111111"/>
        </w:rPr>
        <w:t>Казначейский счет</w:t>
      </w:r>
      <w:r>
        <w:rPr>
          <w:color w:val="111111"/>
        </w:rPr>
        <w:t xml:space="preserve">: 03232643636190006000, </w:t>
      </w:r>
      <w:r>
        <w:rPr>
          <w:b/>
          <w:color w:val="111111"/>
        </w:rPr>
        <w:t>Единый казначейский счет:</w:t>
      </w:r>
      <w:r>
        <w:rPr>
          <w:color w:val="111111"/>
        </w:rPr>
        <w:t xml:space="preserve"> 40102810845370000052, </w:t>
      </w:r>
      <w:r>
        <w:rPr>
          <w:b/>
          <w:color w:val="111111"/>
        </w:rPr>
        <w:t>Банк  получателя</w:t>
      </w:r>
      <w:r>
        <w:rPr>
          <w:color w:val="111111"/>
        </w:rPr>
        <w:t xml:space="preserve">: Отделение Саратов Банка России//УФК по Саратовской области г.Саратов, </w:t>
      </w:r>
      <w:r>
        <w:rPr>
          <w:b/>
          <w:color w:val="111111"/>
        </w:rPr>
        <w:t>Получатель:</w:t>
      </w:r>
      <w:r>
        <w:rPr>
          <w:color w:val="111111"/>
        </w:rPr>
        <w:t xml:space="preserve"> УФК по Саратовской области (Администрация Ивантеевского муниципального района Саратовской области), </w:t>
      </w:r>
      <w:r>
        <w:rPr>
          <w:b/>
          <w:color w:val="111111"/>
        </w:rPr>
        <w:t>ИНН</w:t>
      </w:r>
      <w:r>
        <w:rPr>
          <w:color w:val="111111"/>
        </w:rPr>
        <w:t xml:space="preserve"> 6414001592, </w:t>
      </w:r>
      <w:r>
        <w:rPr>
          <w:b/>
          <w:color w:val="111111"/>
        </w:rPr>
        <w:t>КПП</w:t>
      </w:r>
      <w:r>
        <w:rPr>
          <w:color w:val="111111"/>
        </w:rPr>
        <w:t xml:space="preserve"> 641401001, </w:t>
      </w:r>
      <w:r>
        <w:rPr>
          <w:b/>
          <w:color w:val="111111"/>
        </w:rPr>
        <w:t>БИК</w:t>
      </w:r>
      <w:r>
        <w:rPr>
          <w:color w:val="111111"/>
        </w:rPr>
        <w:t xml:space="preserve"> 016311121, </w:t>
      </w:r>
      <w:r>
        <w:rPr>
          <w:b/>
          <w:bCs/>
          <w:color w:val="1C1C1C"/>
          <w:sz w:val="24"/>
          <w:szCs w:val="24"/>
        </w:rPr>
        <w:t>назначение платежа</w:t>
      </w:r>
      <w:r>
        <w:rPr>
          <w:color w:val="111111"/>
          <w:sz w:val="24"/>
          <w:szCs w:val="24"/>
        </w:rPr>
        <w:t xml:space="preserve">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  <w:rFonts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  <w:rFonts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  <w:rFonts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 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5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5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В.А. Болмосов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bookmarkStart w:id="6" w:name="_GoBack"/>
      <w:bookmarkEnd w:id="6"/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7" w:name="OLE_LINK5"/>
      <w:bookmarkStart w:id="8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7"/>
      <w:bookmarkEnd w:id="8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……………..………………………………………………………...…………………………………………………………………………………………………………………………………………</w:t>
            </w:r>
            <w:r>
              <w:rPr/>
              <w:t>......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6"/>
        <w:gridCol w:w="699"/>
        <w:gridCol w:w="686"/>
        <w:gridCol w:w="686"/>
        <w:gridCol w:w="697"/>
        <w:gridCol w:w="688"/>
        <w:gridCol w:w="697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8"/>
        <w:gridCol w:w="238"/>
        <w:gridCol w:w="214"/>
        <w:gridCol w:w="226"/>
        <w:gridCol w:w="219"/>
        <w:gridCol w:w="219"/>
        <w:gridCol w:w="226"/>
        <w:gridCol w:w="219"/>
        <w:gridCol w:w="226"/>
        <w:gridCol w:w="214"/>
        <w:gridCol w:w="230"/>
        <w:gridCol w:w="214"/>
        <w:gridCol w:w="247"/>
        <w:gridCol w:w="198"/>
        <w:gridCol w:w="8"/>
        <w:gridCol w:w="238"/>
        <w:gridCol w:w="194"/>
        <w:gridCol w:w="175"/>
        <w:gridCol w:w="75"/>
        <w:gridCol w:w="222"/>
        <w:gridCol w:w="244"/>
        <w:gridCol w:w="75"/>
        <w:gridCol w:w="375"/>
        <w:gridCol w:w="238"/>
        <w:gridCol w:w="207"/>
        <w:gridCol w:w="393"/>
        <w:gridCol w:w="55"/>
        <w:gridCol w:w="456"/>
        <w:gridCol w:w="103"/>
        <w:gridCol w:w="346"/>
        <w:gridCol w:w="266"/>
        <w:gridCol w:w="180"/>
        <w:gridCol w:w="426"/>
        <w:gridCol w:w="75"/>
        <w:gridCol w:w="453"/>
        <w:gridCol w:w="118"/>
        <w:gridCol w:w="331"/>
        <w:gridCol w:w="281"/>
        <w:gridCol w:w="175"/>
        <w:gridCol w:w="377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44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6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"/>
      <w:bookmarkEnd w:id="9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8"/>
      <w:type w:val="nextPage"/>
      <w:pgSz w:w="11906" w:h="16838"/>
      <w:pgMar w:left="1305" w:right="678" w:header="567" w:top="1081" w:footer="0" w:bottom="56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20"/>
        <w:tab w:val="center" w:pos="4961" w:leader="none"/>
        <w:tab w:val="right" w:pos="9923" w:leader="none"/>
      </w:tabs>
    </w:pPr>
    <w:rPr/>
  </w:style>
  <w:style w:type="paragraph" w:styleId="Style29">
    <w:name w:val="Header"/>
    <w:basedOn w:val="Style28"/>
    <w:pPr>
      <w:suppressLineNumbers/>
      <w:tabs>
        <w:tab w:val="center" w:pos="4961" w:leader="none"/>
        <w:tab w:val="right" w:pos="992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Application>LibreOffice/6.3.4.2$Windows_x86 LibreOffice_project/60da17e045e08f1793c57c00ba83cdfce946d0aa</Application>
  <Pages>14</Pages>
  <Words>4951</Words>
  <Characters>37775</Characters>
  <CharactersWithSpaces>43018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2021-12-22T14:16:05Z</cp:lastPrinted>
  <dcterms:modified xsi:type="dcterms:W3CDTF">2021-12-23T13:24:44Z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