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Style22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 МУНИЦИПАЛЬНОГО ОБРАЗОВАНИЯ</w:t>
      </w:r>
    </w:p>
    <w:p>
      <w:pPr>
        <w:pStyle w:val="Style22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>
      <w:pPr>
        <w:pStyle w:val="Style22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Style1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16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ПОСТАНОВЛЕНИЕ № </w:t>
      </w:r>
      <w:r>
        <w:rPr>
          <w:rFonts w:cs="Times New Roman" w:ascii="Times New Roman" w:hAnsi="Times New Roman"/>
          <w:b/>
          <w:bCs/>
          <w:sz w:val="28"/>
          <w:szCs w:val="28"/>
        </w:rPr>
        <w:t>29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 23.06.2021 г.                                                                          с. Николаевка</w:t>
      </w:r>
    </w:p>
    <w:p>
      <w:pPr>
        <w:pStyle w:val="Normal"/>
        <w:spacing w:lineRule="auto" w:line="240" w:before="0" w:after="0"/>
        <w:ind w:firstLine="454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установлении форм отчетности и пороговых значений показателей эффективности использования 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имущества 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Николае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 xml:space="preserve">вского муниципального образования 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Ивантее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вского муниципального района Саратовской области</w:t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распоряжением Правительства РФ от 12.10.2020г. № 2645-р «Об утверждении методики определения критериев оптимальности состава государственного и муниципального имущества и показателей эффективности управления и распоряжения им»,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руководствуясь Уставом Николаевского муниципального образования, 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Установить формы отчетности и пороговые значения показателей эффективности использования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ого имущества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Николаевского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Ивантее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вского муниципального района Саратовской области согласно приложению к настоящему постановлению.</w:t>
      </w:r>
    </w:p>
    <w:p>
      <w:pPr>
        <w:pStyle w:val="Style21"/>
        <w:ind w:firstLine="58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Опубликовать настоящее постановление в официальном информационном бюллетене «Николаевский Вестник» и разместить на официальном сайте администрации Ивантеевского муниципального района в разделе «Николаевское муниципальное образование» в сети интернет.</w:t>
      </w:r>
    </w:p>
    <w:p>
      <w:pPr>
        <w:pStyle w:val="Style21"/>
        <w:ind w:firstLine="58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>
      <w:pPr>
        <w:pStyle w:val="Style21"/>
        <w:spacing w:beforeAutospacing="0" w:before="0" w:afterAutospacing="0" w:after="0"/>
        <w:ind w:firstLine="5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Николаевского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Times New Roman" w:hAnsi="Times New Roman"/>
          <w:b/>
          <w:color w:val="000000"/>
          <w:sz w:val="28"/>
          <w:szCs w:val="28"/>
          <w:lang w:eastAsia="ru-RU"/>
        </w:rPr>
        <w:t>муниципального образования                                                 А.А. Демидов</w:t>
      </w:r>
      <w:r>
        <w:rPr>
          <w:rFonts w:eastAsia="Times New Roman" w:cs="Arial" w:ascii="Arial" w:hAnsi="Arial"/>
          <w:color w:val="000000"/>
          <w:sz w:val="19"/>
          <w:szCs w:val="19"/>
          <w:lang w:eastAsia="ru-RU"/>
        </w:rPr>
        <w:br/>
      </w:r>
    </w:p>
    <w:p>
      <w:pPr>
        <w:pStyle w:val="Normal"/>
        <w:spacing w:lineRule="atLeast" w:line="325" w:before="0" w:after="0"/>
        <w:ind w:firstLine="709"/>
        <w:jc w:val="both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4248"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4248"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4248"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4248"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ConsPlusTitle1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Приложение</w:t>
      </w:r>
    </w:p>
    <w:p>
      <w:pPr>
        <w:pStyle w:val="ConsPlusTitle1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к постановлению администрации</w:t>
      </w:r>
    </w:p>
    <w:p>
      <w:pPr>
        <w:pStyle w:val="ConsPlusTitle1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Николаевского муниципального образования </w:t>
      </w:r>
    </w:p>
    <w:p>
      <w:pPr>
        <w:pStyle w:val="ConsPlusTitle1"/>
        <w:widowControl/>
        <w:spacing w:lineRule="atLeast" w:line="315" w:before="0" w:after="0"/>
        <w:ind w:left="4248" w:firstLine="454"/>
        <w:jc w:val="right"/>
        <w:rPr/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lang w:eastAsia="ru-RU"/>
        </w:rPr>
        <w:t>от 23.06.2021г. №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lang w:eastAsia="ru-RU"/>
        </w:rPr>
        <w:t>29</w:t>
      </w:r>
    </w:p>
    <w:p>
      <w:pPr>
        <w:pStyle w:val="Normal"/>
        <w:spacing w:lineRule="auto" w:line="240" w:before="0" w:after="0"/>
        <w:ind w:left="4248" w:firstLine="454"/>
        <w:jc w:val="right"/>
        <w:rPr>
          <w:rFonts w:ascii="Calibri" w:hAnsi="Calibri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454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установлении форм отчетности и пороговых значений показателей эффективности использования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муниципальн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ого имущества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Николаевского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 муниципального образования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Ивантее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вского муниципального района  Саратовской области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1. Общие 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1.1. Администрация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Николаевского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Ивантее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вского муниципального района Саратовской области (далее 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Администрация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) при управлении и распоряжении муниципальным имуществом должна руководствоваться распоряжением Правительство Российской Федерации от 12 октября 2020г. № 2645-р «Об утверждении методики определения критериев оптимальности состава государственного и муниципального имущества и показателей эффективности управления и распоряжения им» и ежегодно, до 15 июля года, следующего за отчетным, размещать в системе «Управление» отчетность об эффективности управления и распоряжения муниципальным имуществом по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u w:val="none"/>
            <w:lang w:eastAsia="ru-RU"/>
          </w:rPr>
          <w:t>формам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предусмотренным данным постановлением.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1.2. Администрация, осуществляющая функции по управлению имуществом муниципального образования, проводит ежегодный мониторинг и анализ отчетности, указанной в пункте 1.1. настоящего постановления, в отношении муниципального имущества.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454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Формы отчетности и пороговых значений показателей эффективности использования 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имущества</w:t>
      </w:r>
    </w:p>
    <w:p>
      <w:pPr>
        <w:pStyle w:val="Normal"/>
        <w:spacing w:lineRule="auto" w:line="240" w:before="0" w:after="0"/>
        <w:ind w:firstLine="454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Николаевского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муниципального образования</w:t>
      </w:r>
    </w:p>
    <w:p>
      <w:pPr>
        <w:pStyle w:val="Normal"/>
        <w:spacing w:lineRule="auto" w:line="24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2.1. Анализ эффективности использования </w:t>
      </w:r>
      <w:bookmarkStart w:id="0" w:name="__DdeLink__996_2562730962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ого имущества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Николаевского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осуществляется по следующим показателям эффективности: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Vrinda" w:ascii="Vrinda" w:hAnsi="Vrinda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показатели эффективности передачи на безвозмездной основе объектов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ого имущества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Николаевского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в целях имущественной поддержки некоммерческим организациям - по форме отчетности, предусмотренной </w:t>
      </w:r>
      <w:hyperlink r:id="rId3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u w:val="none"/>
            <w:lang w:eastAsia="ru-RU"/>
          </w:rPr>
          <w:t>таблицей 1</w:t>
        </w:r>
      </w:hyperlink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приложения к настоящей методике;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Vrinda" w:ascii="Vrinda" w:hAnsi="Vrinda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показатели, характеризующие эффективность управления и распоряжения объектами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ого имущества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Николаевского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образования, которые включены в перечни имущества, предоставляемого субъектам малого и среднего предпринимательства, - по форме отчетности, предусмотренной </w:t>
      </w:r>
      <w:hyperlink r:id="rId4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u w:val="none"/>
            <w:lang w:eastAsia="ru-RU"/>
          </w:rPr>
          <w:t>таблицей 2</w:t>
        </w:r>
      </w:hyperlink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приложения к настоящей методике;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Vrinda" w:ascii="Vrinda" w:hAnsi="Vrinda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показатели, характеризующие эффективность управления и распоряжения земельными участками, - по форме отчетности, предусмотренной </w:t>
      </w:r>
      <w:hyperlink r:id="rId5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u w:val="none"/>
            <w:lang w:eastAsia="ru-RU"/>
          </w:rPr>
          <w:t>таблицей 3</w:t>
        </w:r>
      </w:hyperlink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приложения к настоящей методике;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Vrinda" w:ascii="Vrinda" w:hAnsi="Vrinda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доля просроченной более чем на 3 квартала задолженности по договорам аренды объектов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имущества, по которым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Администрацией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не проводились мероприятия по взысканию задолженности в судебном порядке или не направлялись досудебные претензии по состоянию на 31 декабря отчетного года, в общей сумме арендной платы за отчетный год;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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доля объектов культурного наследия (памятников истории и культуры) народов Российской Федерации, в отношении которых оформлены охранные обязательства в соответствии с Федеральным </w:t>
      </w:r>
      <w:hyperlink r:id="rId6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u w:val="none"/>
            <w:lang w:eastAsia="ru-RU"/>
          </w:rPr>
          <w:t>законом</w:t>
        </w:r>
      </w:hyperlink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"Об объектах культурного наследия (памятниках истории и культуры) народов Российской Федерации", в общем количестве объектов культурного наследия, находящихся в собственности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Николаевского муниципального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образования;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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доля объектов незавершенного строительства, в отношении которых реализована в отчетном году целевая функция согласно планам-графикам, размещенным в государственной автоматизированной информационной системе «Управление», в общем количестве объектов незавершенного строительства, для которых целевая функция была установлена на отчетный год;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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доля объектов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имущества, вовлеченных в коммерческий оборот в рамках концессионных соглашений, соглашений о государственно-частном (муниципально-частном) партнерстве, инвестиционных договоров, в общем количестве объектов недвижимого имущества, находящихся в собственности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Николаевского муниципального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образования на конец отчетного года.</w:t>
      </w:r>
    </w:p>
    <w:p>
      <w:pPr>
        <w:pStyle w:val="Normal"/>
        <w:spacing w:lineRule="auto" w:line="24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2.2. Отчетность составляется по каждому объекту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ого имущества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Николаевского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 образования на основе данных бюджетной отчетности.</w:t>
      </w:r>
    </w:p>
    <w:p>
      <w:pPr>
        <w:pStyle w:val="Normal"/>
        <w:spacing w:lineRule="auto" w:line="24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2.3. Оценка показателей эффективности использования объектов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ого имущества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Николаевского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осуществляется администрацией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Николаевского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образования. При недостижении пороговых значений показателей эффективности администрация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Николаевского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осуществляет подготовку плана повышения эффективности управления и распоряжения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ым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имуществ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Николаевского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 образования с указанием конкретных объектов, по которым в плановом периоде может предусматриваться: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 взыскание задолженности;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 вовлечение в инфраструктурные проекты и отношения, связанные с инвестиционной деятельностью;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 закрепление за органами местного самоуправления;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 закрепление за муниципальными унитарными предприятиями и учреждениями на праве хозяйственного ведения или оперативного управления;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д) передача на иной уровень публичной собственности;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е) мероприятия по предоставлению земельных участков в соответствии с Земельным </w:t>
      </w:r>
      <w:hyperlink r:id="rId7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u w:val="none"/>
            <w:lang w:eastAsia="ru-RU"/>
          </w:rPr>
          <w:t>кодексом</w:t>
        </w:r>
      </w:hyperlink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Российской Федерации;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ж) реализация земельных участков в соответствии с Земельным </w:t>
      </w:r>
      <w:hyperlink r:id="rId8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u w:val="none"/>
            <w:lang w:eastAsia="ru-RU"/>
          </w:rPr>
          <w:t>кодексом</w:t>
        </w:r>
      </w:hyperlink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Российской Федерации;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з) приватизация.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25. Анализ эффективности приватизации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ого имущества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Николаевского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осуществляется по показателям по форме отчетности, предусмотренной </w:t>
      </w:r>
      <w:hyperlink r:id="rId9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u w:val="none"/>
            <w:lang w:eastAsia="ru-RU"/>
          </w:rPr>
          <w:t>таблицей 4</w:t>
        </w:r>
      </w:hyperlink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приложения к настоящей методике.</w:t>
      </w:r>
    </w:p>
    <w:p>
      <w:pPr>
        <w:pStyle w:val="Normal"/>
        <w:spacing w:lineRule="auto" w:line="240" w:before="0" w:after="0"/>
        <w:ind w:firstLine="454"/>
        <w:jc w:val="right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> </w:t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454"/>
        <w:jc w:val="right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Таблица 1</w:t>
      </w:r>
    </w:p>
    <w:p>
      <w:pPr>
        <w:pStyle w:val="Normal"/>
        <w:spacing w:lineRule="auto" w:line="240" w:before="0" w:after="0"/>
        <w:ind w:firstLine="454"/>
        <w:jc w:val="center"/>
        <w:rPr/>
      </w:pPr>
      <w:bookmarkStart w:id="1" w:name="Par734"/>
      <w:bookmarkEnd w:id="1"/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ФОРМА ОТЧЕТНОСТИ</w:t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по показат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/>
        </w:rPr>
        <w:t>елям эффективности передачи</w:t>
      </w:r>
    </w:p>
    <w:p>
      <w:pPr>
        <w:pStyle w:val="Normal"/>
        <w:spacing w:lineRule="auto" w:line="240" w:before="0" w:after="0"/>
        <w:ind w:firstLine="454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/>
        </w:rPr>
        <w:t xml:space="preserve">на безвозмездной основе объектов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/>
        </w:rPr>
        <w:t>муниципальн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/>
        </w:rPr>
        <w:t xml:space="preserve">ого имущества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/>
        </w:rPr>
        <w:t xml:space="preserve">Николаевского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/>
        </w:rPr>
        <w:t>муниципального образования в целях имущественной</w:t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/>
        </w:rPr>
        <w:t>поддержки некоммерческим организац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иям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/>
      </w:r>
    </w:p>
    <w:tbl>
      <w:tblPr>
        <w:tblW w:w="9417" w:type="dxa"/>
        <w:jc w:val="left"/>
        <w:tblInd w:w="0" w:type="dxa"/>
        <w:tblBorders>
          <w:bottom w:val="single" w:sz="6" w:space="0" w:color="000001"/>
          <w:insideH w:val="single" w:sz="6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1649"/>
        <w:gridCol w:w="1325"/>
        <w:gridCol w:w="1323"/>
        <w:gridCol w:w="18"/>
      </w:tblGrid>
      <w:tr>
        <w:trPr/>
        <w:tc>
          <w:tcPr>
            <w:tcW w:w="5102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 1 ________________ 20__ г.</w:t>
            </w:r>
          </w:p>
        </w:tc>
        <w:tc>
          <w:tcPr>
            <w:tcW w:w="1649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325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Коды</w:t>
            </w:r>
          </w:p>
        </w:tc>
        <w:tc>
          <w:tcPr>
            <w:tcW w:w="1323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8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Орган местного самоуправления, осуществляющий функции и полномочия учредителя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по БК</w:t>
            </w:r>
          </w:p>
        </w:tc>
        <w:tc>
          <w:tcPr>
            <w:tcW w:w="13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бюджета ППО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 </w:t>
            </w:r>
            <w:hyperlink r:id="rId10">
              <w:r>
                <w:rPr>
                  <w:rStyle w:val="Style14"/>
                  <w:rFonts w:eastAsia="Times New Roman" w:cs="Times New Roman" w:ascii="Times New Roman" w:hAnsi="Times New Roman"/>
                  <w:color w:val="000000"/>
                  <w:lang w:eastAsia="ru-RU"/>
                </w:rPr>
                <w:t>ОКТМО</w:t>
              </w:r>
            </w:hyperlink>
          </w:p>
        </w:tc>
        <w:tc>
          <w:tcPr>
            <w:tcW w:w="13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Периодичность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годовая</w:t>
            </w:r>
          </w:p>
        </w:tc>
        <w:tc>
          <w:tcPr>
            <w:tcW w:w="1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3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3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/>
      </w:r>
    </w:p>
    <w:tbl>
      <w:tblPr>
        <w:tblW w:w="9107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2" w:type="dxa"/>
          <w:left w:w="54" w:type="dxa"/>
          <w:bottom w:w="102" w:type="dxa"/>
          <w:right w:w="62" w:type="dxa"/>
        </w:tblCellMar>
        <w:tblLook w:val="04a0"/>
      </w:tblPr>
      <w:tblGrid>
        <w:gridCol w:w="623"/>
        <w:gridCol w:w="6917"/>
        <w:gridCol w:w="1"/>
        <w:gridCol w:w="1566"/>
      </w:tblGrid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N п/п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Параметры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Показатель эффективности (баллов)</w:t>
            </w:r>
          </w:p>
        </w:tc>
      </w:tr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Количество нарушений использования имущества, выявленных за отчетный период по результатам проверки: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а) нарушения выявлены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</w:tr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б) нарушения не выявлены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</w:tr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Отношение количества устраненных нарушений к общему количеству нарушений, выявленных по результатам проверок (за отчетный период):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а) от 0 до 75% (включительно)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</w:tr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б) более 75% (равно либо отсутствие нарушений)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</w:tr>
      <w:tr>
        <w:trPr/>
        <w:tc>
          <w:tcPr>
            <w:tcW w:w="75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Максимальное значение показателя эффективности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19"/>
          <w:szCs w:val="19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19"/>
          <w:szCs w:val="19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19"/>
          <w:szCs w:val="19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454"/>
        <w:jc w:val="right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Таблица 2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bookmarkStart w:id="2" w:name="Par789"/>
      <w:bookmarkEnd w:id="2"/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ФОРМА ОТЧЕТНОСТИ</w:t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по показателям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/>
        </w:rPr>
        <w:t>, характеризующим эффективность управления</w:t>
      </w:r>
    </w:p>
    <w:p>
      <w:pPr>
        <w:pStyle w:val="Normal"/>
        <w:spacing w:lineRule="auto" w:line="240" w:before="0" w:after="0"/>
        <w:ind w:firstLine="454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/>
        </w:rPr>
        <w:t xml:space="preserve">и распоряжения объектами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/>
        </w:rPr>
        <w:t>муниципальн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/>
        </w:rPr>
        <w:t xml:space="preserve">ого имущества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/>
        </w:rPr>
        <w:t xml:space="preserve">Николаевского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/>
        </w:rPr>
        <w:t>муниципального образования, которые включены</w:t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/>
        </w:rPr>
        <w:t>в перечни имущества, предоставляемого субъектам</w:t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/>
        </w:rPr>
        <w:t>малого и среднего предприни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мательства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/>
      </w:r>
    </w:p>
    <w:tbl>
      <w:tblPr>
        <w:tblW w:w="9070" w:type="dxa"/>
        <w:jc w:val="left"/>
        <w:tblInd w:w="0" w:type="dxa"/>
        <w:tblBorders>
          <w:bottom w:val="single" w:sz="6" w:space="0" w:color="000001"/>
          <w:insideH w:val="single" w:sz="6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8"/>
        <w:gridCol w:w="1757"/>
        <w:gridCol w:w="1341"/>
        <w:gridCol w:w="1474"/>
        <w:gridCol w:w="20"/>
      </w:tblGrid>
      <w:tr>
        <w:trPr/>
        <w:tc>
          <w:tcPr>
            <w:tcW w:w="4478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 1 ________________ 20__ г.</w:t>
            </w:r>
          </w:p>
        </w:tc>
        <w:tc>
          <w:tcPr>
            <w:tcW w:w="1757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341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Коды</w:t>
            </w:r>
          </w:p>
        </w:tc>
        <w:tc>
          <w:tcPr>
            <w:tcW w:w="1474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20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Орган местного самоуправления, осуществляющий функции и полномочия в сфере имущественных отношений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по БК</w:t>
            </w:r>
          </w:p>
        </w:tc>
        <w:tc>
          <w:tcPr>
            <w:tcW w:w="14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бюджета ППО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 </w:t>
            </w:r>
            <w:hyperlink r:id="rId11">
              <w:r>
                <w:rPr>
                  <w:rStyle w:val="Style14"/>
                  <w:rFonts w:eastAsia="Times New Roman" w:cs="Times New Roman" w:ascii="Times New Roman" w:hAnsi="Times New Roman"/>
                  <w:color w:val="000000"/>
                  <w:lang w:eastAsia="ru-RU"/>
                </w:rPr>
                <w:t>ОКТМО</w:t>
              </w:r>
            </w:hyperlink>
          </w:p>
        </w:tc>
        <w:tc>
          <w:tcPr>
            <w:tcW w:w="14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Периодичность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годовая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4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4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/>
      </w:r>
    </w:p>
    <w:tbl>
      <w:tblPr>
        <w:tblW w:w="9107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2" w:type="dxa"/>
          <w:left w:w="54" w:type="dxa"/>
          <w:bottom w:w="102" w:type="dxa"/>
          <w:right w:w="62" w:type="dxa"/>
        </w:tblCellMar>
        <w:tblLook w:val="04a0"/>
      </w:tblPr>
      <w:tblGrid>
        <w:gridCol w:w="623"/>
        <w:gridCol w:w="6917"/>
        <w:gridCol w:w="1"/>
        <w:gridCol w:w="1566"/>
      </w:tblGrid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N п/п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Параметры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Показатель эффективности (баллов)</w:t>
            </w:r>
          </w:p>
        </w:tc>
      </w:tr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Количество проведенных в течение года торгов в отношении каждого объекта казны публично-правового образования </w:t>
            </w:r>
            <w:r>
              <w:fldChar w:fldCharType="begin"/>
            </w:r>
            <w:r>
              <w:instrText> HYPERLINK "http://pravo-search.minjust.ru:8080/bigs/portal.html" \l "Par836"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lang w:eastAsia="ru-RU"/>
              </w:rPr>
              <w:t>&lt;1&gt;</w:t>
            </w:r>
            <w:r>
              <w:fldChar w:fldCharType="end"/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: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а) торги не проводились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</w:tr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б) процедура была проведена и признана несостоявшейся по причине того, что не подана ни одна заявка/подана одна заявка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</w:tr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в) проведена состоявшаяся процедура торгов и по результатам торгов заключен договор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</w:tr>
      <w:tr>
        <w:trPr/>
        <w:tc>
          <w:tcPr>
            <w:tcW w:w="75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Максимальное значение показателя эффективности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>--------------------------------</w:t>
      </w:r>
    </w:p>
    <w:p>
      <w:pPr>
        <w:pStyle w:val="Normal"/>
        <w:spacing w:lineRule="auto" w:line="240" w:before="0" w:after="0"/>
        <w:ind w:firstLine="454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bookmarkStart w:id="3" w:name="Par836"/>
      <w:bookmarkEnd w:id="3"/>
      <w:r>
        <w:rPr>
          <w:rFonts w:eastAsia="Times New Roman" w:cs="Times New Roman" w:ascii="Times New Roman" w:hAnsi="Times New Roman"/>
          <w:color w:val="000000"/>
          <w:lang w:eastAsia="ru-RU"/>
        </w:rPr>
        <w:t>&lt;1&gt; Совокупное значение показателя эффективности рассчитывается методом среднего арифметического (сумма всех чисел множества, деленная на их количество).</w:t>
      </w:r>
    </w:p>
    <w:p>
      <w:pPr>
        <w:pStyle w:val="Normal"/>
        <w:spacing w:lineRule="auto" w:line="240" w:before="0" w:after="0"/>
        <w:ind w:firstLine="454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19"/>
          <w:szCs w:val="19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454"/>
        <w:jc w:val="right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Таблица 3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bookmarkStart w:id="4" w:name="Par842"/>
      <w:bookmarkEnd w:id="4"/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ФОРМА ОТЧЕТНОСТИ</w:t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по показателям, характеризующим эффективность управления</w:t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и распоряжения земельными участками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/>
      </w:r>
    </w:p>
    <w:tbl>
      <w:tblPr>
        <w:tblW w:w="9070" w:type="dxa"/>
        <w:jc w:val="left"/>
        <w:tblInd w:w="0" w:type="dxa"/>
        <w:tblBorders>
          <w:bottom w:val="single" w:sz="6" w:space="0" w:color="000001"/>
          <w:insideH w:val="single" w:sz="6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8"/>
        <w:gridCol w:w="1757"/>
        <w:gridCol w:w="1341"/>
        <w:gridCol w:w="1474"/>
        <w:gridCol w:w="20"/>
      </w:tblGrid>
      <w:tr>
        <w:trPr/>
        <w:tc>
          <w:tcPr>
            <w:tcW w:w="4478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 1 ________________ 20__ г.</w:t>
            </w:r>
          </w:p>
        </w:tc>
        <w:tc>
          <w:tcPr>
            <w:tcW w:w="1757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341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Коды</w:t>
            </w:r>
          </w:p>
        </w:tc>
        <w:tc>
          <w:tcPr>
            <w:tcW w:w="1474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0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Орган местного самоуправления, осуществляющий функции в сфере имущественных отношений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по БК</w:t>
            </w:r>
          </w:p>
        </w:tc>
        <w:tc>
          <w:tcPr>
            <w:tcW w:w="14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бюджета ППО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 </w:t>
            </w:r>
            <w:hyperlink r:id="rId12">
              <w:r>
                <w:rPr>
                  <w:rStyle w:val="Style14"/>
                  <w:rFonts w:eastAsia="Times New Roman" w:cs="Times New Roman" w:ascii="Times New Roman" w:hAnsi="Times New Roman"/>
                  <w:color w:val="000000"/>
                  <w:lang w:eastAsia="ru-RU"/>
                </w:rPr>
                <w:t>ОКТМО</w:t>
              </w:r>
            </w:hyperlink>
          </w:p>
        </w:tc>
        <w:tc>
          <w:tcPr>
            <w:tcW w:w="14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Периодичность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годовая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4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4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/>
      </w:r>
    </w:p>
    <w:tbl>
      <w:tblPr>
        <w:tblW w:w="9107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2" w:type="dxa"/>
          <w:left w:w="54" w:type="dxa"/>
          <w:bottom w:w="102" w:type="dxa"/>
          <w:right w:w="62" w:type="dxa"/>
        </w:tblCellMar>
        <w:tblLook w:val="04a0"/>
      </w:tblPr>
      <w:tblGrid>
        <w:gridCol w:w="623"/>
        <w:gridCol w:w="6917"/>
        <w:gridCol w:w="1"/>
        <w:gridCol w:w="1566"/>
      </w:tblGrid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N п/п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Параметры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Показатель эффективности (баллов)</w:t>
            </w:r>
          </w:p>
        </w:tc>
      </w:tr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Процент сокращения  площади земельных участков муниципальной казны, не вовлеченных в хозяйственный оборот, по отношению к площади земельных участков муниципальной казны в 2012 году (за исключением земельных участков, изъятых из оборота и ограниченных в обороте):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а) плановые показатели не достигнуты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</w:tr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б) плановые показатели достигнуты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</w:tr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Площадь земельных участков, находящихся в муниципальной собственности, в отношении которых сформированы и уточнены границы, а также внесены сведения в Единый государственный реестр недвижимости(га):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а) плановые показатели не достигнуты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</w:tr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б) плановые показатели достигнуты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</w:tr>
      <w:tr>
        <w:trPr/>
        <w:tc>
          <w:tcPr>
            <w:tcW w:w="75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Максимальное значение показателя эффективности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19"/>
          <w:szCs w:val="19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454"/>
        <w:jc w:val="right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 </w:t>
      </w:r>
    </w:p>
    <w:p>
      <w:pPr>
        <w:pStyle w:val="Normal"/>
        <w:spacing w:lineRule="auto" w:line="240" w:before="0" w:after="0"/>
        <w:ind w:firstLine="454"/>
        <w:jc w:val="right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 </w:t>
      </w:r>
    </w:p>
    <w:p>
      <w:pPr>
        <w:pStyle w:val="Normal"/>
        <w:spacing w:lineRule="auto" w:line="240" w:before="0" w:after="0"/>
        <w:ind w:firstLine="454"/>
        <w:jc w:val="right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Таблица 4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bookmarkStart w:id="5" w:name="Par899"/>
      <w:bookmarkEnd w:id="5"/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ФОРМА ОТЧЕТНОСТИ</w:t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по показателям, характеризующим эффективность приватизации</w:t>
      </w:r>
    </w:p>
    <w:p>
      <w:pPr>
        <w:pStyle w:val="Normal"/>
        <w:spacing w:lineRule="auto" w:line="240" w:before="0" w:after="0"/>
        <w:ind w:firstLine="454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 xml:space="preserve">объектов муниципального имущества 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/>
      </w:r>
    </w:p>
    <w:tbl>
      <w:tblPr>
        <w:tblW w:w="9007" w:type="dxa"/>
        <w:jc w:val="left"/>
        <w:tblInd w:w="0" w:type="dxa"/>
        <w:tblBorders>
          <w:bottom w:val="single" w:sz="6" w:space="0" w:color="000001"/>
          <w:insideH w:val="single" w:sz="6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1019"/>
        <w:gridCol w:w="1475"/>
        <w:gridCol w:w="654"/>
        <w:gridCol w:w="20"/>
      </w:tblGrid>
      <w:tr>
        <w:trPr/>
        <w:tc>
          <w:tcPr>
            <w:tcW w:w="5839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 1 ________________ 20__ г.</w:t>
            </w:r>
          </w:p>
        </w:tc>
        <w:tc>
          <w:tcPr>
            <w:tcW w:w="1019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475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Коды</w:t>
            </w:r>
          </w:p>
        </w:tc>
        <w:tc>
          <w:tcPr>
            <w:tcW w:w="654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0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Орган местного самоуправления, осуществляющий функции и полномочия в сфере имущественных отношений</w:t>
            </w:r>
          </w:p>
        </w:tc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по БК</w:t>
            </w:r>
          </w:p>
        </w:tc>
        <w:tc>
          <w:tcPr>
            <w:tcW w:w="6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бюджета ППО</w:t>
            </w:r>
          </w:p>
        </w:tc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 </w:t>
            </w:r>
            <w:hyperlink r:id="rId13">
              <w:r>
                <w:rPr>
                  <w:rStyle w:val="Style14"/>
                  <w:rFonts w:eastAsia="Times New Roman" w:cs="Times New Roman" w:ascii="Times New Roman" w:hAnsi="Times New Roman"/>
                  <w:color w:val="000000"/>
                  <w:lang w:eastAsia="ru-RU"/>
                </w:rPr>
                <w:t>ОКТМО</w:t>
              </w:r>
            </w:hyperlink>
          </w:p>
        </w:tc>
        <w:tc>
          <w:tcPr>
            <w:tcW w:w="6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Периодичность</w:t>
            </w:r>
          </w:p>
        </w:tc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годовая</w:t>
            </w:r>
          </w:p>
        </w:tc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6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</w:p>
        </w:tc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6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firstLine="454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 </w:t>
      </w:r>
    </w:p>
    <w:tbl>
      <w:tblPr>
        <w:tblW w:w="9107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2" w:type="dxa"/>
          <w:left w:w="54" w:type="dxa"/>
          <w:bottom w:w="102" w:type="dxa"/>
          <w:right w:w="62" w:type="dxa"/>
        </w:tblCellMar>
        <w:tblLook w:val="04a0"/>
      </w:tblPr>
      <w:tblGrid>
        <w:gridCol w:w="623"/>
        <w:gridCol w:w="6917"/>
        <w:gridCol w:w="1"/>
        <w:gridCol w:w="1566"/>
      </w:tblGrid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N п/п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Параметры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Показатели эффективности (баллов)</w:t>
            </w:r>
          </w:p>
        </w:tc>
      </w:tr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Доля продаж пакетов акций акционерных обществ, подлежащих продаже в соответствии с прогнозным планом (программой) приватизации: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а) плановые показатели не достигнуты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</w:tr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б) плановые показатели достигнуты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</w:tr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Доля продаж объектов имущества муниципальной казны, подлежащих продаже в соответствии с прогнозным планом (программой) приватизации (за исключением пакетов акций акционерных обществ):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а) плановые показатели не достигнуты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</w:tr>
      <w:tr>
        <w:trPr/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б) плановые показатели достигнуты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</w:tr>
      <w:tr>
        <w:trPr/>
        <w:tc>
          <w:tcPr>
            <w:tcW w:w="75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Максимальное значение показателя эффективности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ind w:firstLine="454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 </w:t>
      </w:r>
    </w:p>
    <w:p>
      <w:pPr>
        <w:pStyle w:val="Normal"/>
        <w:spacing w:lineRule="auto" w:line="240" w:before="0" w:after="0"/>
        <w:ind w:firstLine="454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  <w:font w:name="Vrind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54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basedOn w:val="DefaultParagraphFont"/>
    <w:qFormat/>
    <w:rsid w:val="00c22141"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00" w:customStyle="1">
    <w:name w:val="normal00"/>
    <w:basedOn w:val="Normal"/>
    <w:qFormat/>
    <w:rsid w:val="00c221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c221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Footer"/>
    <w:basedOn w:val="Normal"/>
    <w:rsid w:val="00c221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 w:customStyle="1">
    <w:name w:val="Header"/>
    <w:basedOn w:val="Normal"/>
    <w:rsid w:val="00c221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 w:customStyle="1">
    <w:name w:val="nospacing"/>
    <w:basedOn w:val="Normal"/>
    <w:qFormat/>
    <w:rsid w:val="00c221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0" w:customStyle="1">
    <w:name w:val="listparagraph0"/>
    <w:basedOn w:val="Normal"/>
    <w:qFormat/>
    <w:rsid w:val="00c221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basedOn w:val="Normal"/>
    <w:qFormat/>
    <w:rsid w:val="00c221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Без интервала"/>
    <w:qFormat/>
    <w:pPr>
      <w:widowControl w:val="false"/>
      <w:suppressAutoHyphens w:val="true"/>
    </w:pPr>
    <w:rPr>
      <w:rFonts w:ascii="Times New Roman" w:hAnsi="Times New Roman" w:eastAsia="SimSun;Arial Unicode MS" w:cs="Mangal"/>
      <w:color w:val="auto"/>
      <w:kern w:val="2"/>
      <w:sz w:val="24"/>
      <w:szCs w:val="21"/>
      <w:lang w:val="ru-RU" w:eastAsia="zh-CN" w:bidi="hi-IN"/>
    </w:rPr>
  </w:style>
  <w:style w:type="paragraph" w:styleId="Consplustitle">
    <w:name w:val="consplustitle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1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/>
      <w:b/>
      <w:bCs/>
      <w:color w:val="auto"/>
      <w:kern w:val="0"/>
      <w:sz w:val="24"/>
      <w:szCs w:val="24"/>
      <w:lang w:val="ru-RU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nla-service.scli.ru:8080/rnla-links/ws/content/act/" TargetMode="External"/><Relationship Id="rId3" Type="http://schemas.openxmlformats.org/officeDocument/2006/relationships/hyperlink" Target="http://rnla-service.scli.ru:8080/rnla-links/ws/content/act/" TargetMode="External"/><Relationship Id="rId4" Type="http://schemas.openxmlformats.org/officeDocument/2006/relationships/hyperlink" Target="http://rnla-service.scli.ru:8080/rnla-links/ws/content/act/" TargetMode="External"/><Relationship Id="rId5" Type="http://schemas.openxmlformats.org/officeDocument/2006/relationships/hyperlink" Target="http://rnla-service.scli.ru:8080/rnla-links/ws/content/act/" TargetMode="External"/><Relationship Id="rId6" Type="http://schemas.openxmlformats.org/officeDocument/2006/relationships/hyperlink" Target="http://rnla-service.scli.ru:8080/rnla-links/ws/content/act/" TargetMode="External"/><Relationship Id="rId7" Type="http://schemas.openxmlformats.org/officeDocument/2006/relationships/hyperlink" Target="http://rnla-service.scli.ru:8080/rnla-links/ws/content/act/" TargetMode="External"/><Relationship Id="rId8" Type="http://schemas.openxmlformats.org/officeDocument/2006/relationships/hyperlink" Target="http://rnla-service.scli.ru:8080/rnla-links/ws/content/act/" TargetMode="External"/><Relationship Id="rId9" Type="http://schemas.openxmlformats.org/officeDocument/2006/relationships/hyperlink" Target="http://rnla-service.scli.ru:8080/rnla-links/ws/content/act/" TargetMode="External"/><Relationship Id="rId10" Type="http://schemas.openxmlformats.org/officeDocument/2006/relationships/hyperlink" Target="http://rnla-service.scli.ru:8080/rnla-links/ws/content/act/" TargetMode="External"/><Relationship Id="rId11" Type="http://schemas.openxmlformats.org/officeDocument/2006/relationships/hyperlink" Target="http://rnla-service.scli.ru:8080/rnla-links/ws/content/act/" TargetMode="External"/><Relationship Id="rId12" Type="http://schemas.openxmlformats.org/officeDocument/2006/relationships/hyperlink" Target="http://rnla-service.scli.ru:8080/rnla-links/ws/content/act/" TargetMode="External"/><Relationship Id="rId13" Type="http://schemas.openxmlformats.org/officeDocument/2006/relationships/hyperlink" Target="http://rnla-service.scli.ru:8080/rnla-links/ws/content/act/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LibreOffice/5.4.3.2$Windows_X86_64 LibreOffice_project/92a7159f7e4af62137622921e809f8546db437e5</Application>
  <Pages>7</Pages>
  <Words>1218</Words>
  <Characters>9561</Characters>
  <CharactersWithSpaces>10835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2021-06-28T07:31:00Z</dcterms:created>
  <dc:creator>Администрация</dc:creator>
  <dc:description/>
  <dc:language>ru-RU</dc:language>
  <cp:lastModifiedBy/>
  <dcterms:modified xsi:type="dcterms:W3CDTF">2021-06-28T18:35:48Z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