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купли-продажи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04.09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2308020074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 xml:space="preserve">право заключения договора </w:t>
      </w:r>
      <w:r>
        <w:rPr>
          <w:rFonts w:eastAsia="Times New Roman" w:cs="Times New Roman" w:ascii="Times New Roman" w:hAnsi="Times New Roman"/>
          <w:bCs/>
          <w:color w:val="00000A"/>
          <w:kern w:val="0"/>
          <w:sz w:val="26"/>
          <w:szCs w:val="26"/>
          <w:lang w:val="ru-RU" w:eastAsia="ru-RU" w:bidi="ar-SA"/>
        </w:rPr>
        <w:t>купли-продажи</w:t>
      </w:r>
      <w:r>
        <w:rPr>
          <w:rFonts w:ascii="Times New Roman" w:hAnsi="Times New Roman"/>
          <w:bCs/>
          <w:sz w:val="26"/>
          <w:szCs w:val="26"/>
        </w:rPr>
        <w:t xml:space="preserve"> земельного участка</w:t>
      </w:r>
    </w:p>
    <w:tbl>
      <w:tblPr>
        <w:tblW w:w="10302" w:type="dxa"/>
        <w:jc w:val="left"/>
        <w:tblInd w:w="80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570"/>
        <w:gridCol w:w="2895"/>
        <w:gridCol w:w="1634"/>
        <w:gridCol w:w="844"/>
        <w:gridCol w:w="1500"/>
        <w:gridCol w:w="1336"/>
        <w:gridCol w:w="1522"/>
      </w:tblGrid>
      <w:tr>
        <w:trPr>
          <w:trHeight w:val="67" w:hRule="atLeast"/>
          <w:cantSplit w:val="true"/>
        </w:trPr>
        <w:tc>
          <w:tcPr>
            <w:tcW w:w="57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6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аукциона (руб.)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4386" w:hRule="atLeast"/>
          <w:cantSplit w:val="true"/>
        </w:trPr>
        <w:tc>
          <w:tcPr>
            <w:tcW w:w="5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Ивантеевское МО, вдоль левого берега реки Чернава, 60-330м к северо-западу от автодороги Р-229 «Самара-Пугачев-Энгельс-Волгоград»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 с видом разрешенного использования «Сельскохозяйственное использование»,  категория земель: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». На земельный участок установлены  ограничения прав, предусмотренные ст. 56 ЗК РФ</w:t>
            </w:r>
          </w:p>
        </w:tc>
        <w:tc>
          <w:tcPr>
            <w:tcW w:w="16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64:14: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010401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468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53 000</w:t>
            </w:r>
            <w:bookmarkStart w:id="1" w:name="__DdeLink__1030_3572435259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,00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три тысячи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 рублей 00 копеек</w:t>
            </w:r>
            <w:bookmarkEnd w:id="1"/>
          </w:p>
        </w:tc>
        <w:tc>
          <w:tcPr>
            <w:tcW w:w="13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1590,00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одна тысяча пятьсот девяносто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рублей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копеек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53 000</w:t>
            </w:r>
            <w:bookmarkStart w:id="2" w:name="__DdeLink__1030_3572435259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,00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три тысячи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 рублей 00 копеек</w:t>
            </w:r>
            <w:bookmarkEnd w:id="2"/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подведения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итогов</w:t>
      </w:r>
      <w:r>
        <w:rPr>
          <w:rFonts w:ascii="Times New Roman" w:hAnsi="Times New Roman"/>
          <w:sz w:val="26"/>
          <w:szCs w:val="26"/>
        </w:rPr>
        <w:t xml:space="preserve"> электронного аукциона </w:t>
      </w:r>
      <w:r>
        <w:rPr>
          <w:rFonts w:ascii="Times New Roman" w:hAnsi="Times New Roman"/>
          <w:sz w:val="26"/>
          <w:szCs w:val="26"/>
        </w:rPr>
        <w:t xml:space="preserve">на право заключения договора купли-продажи земельного участка </w:t>
      </w: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05.09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sz w:val="26"/>
          <w:szCs w:val="26"/>
        </w:rPr>
        <w:t xml:space="preserve">г: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3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</w:t>
      </w:r>
      <w:r>
        <w:rPr>
          <w:rFonts w:ascii="Times New Roman" w:hAnsi="Times New Roman"/>
          <w:spacing w:val="-6"/>
          <w:sz w:val="24"/>
          <w:szCs w:val="24"/>
          <w:highlight w:val="white"/>
        </w:rPr>
        <w:t>н</w:t>
      </w:r>
      <w:bookmarkEnd w:id="3"/>
      <w:r>
        <w:rPr>
          <w:rFonts w:ascii="Times New Roman" w:hAnsi="Times New Roman"/>
          <w:spacing w:val="-6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4"/>
          <w:szCs w:val="24"/>
          <w:highlight w:val="white"/>
          <w:lang w:val="ru-RU" w:eastAsia="ru-RU" w:bidi="ar-SA"/>
        </w:rPr>
        <w:t>ИП Горшенин Денис Владимирович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4"/>
          <w:szCs w:val="24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tru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LibreOffice/6.3.4.2$Windows_x86 LibreOffice_project/60da17e045e08f1793c57c00ba83cdfce946d0aa</Application>
  <Pages>1</Pages>
  <Words>182</Words>
  <Characters>1343</Characters>
  <CharactersWithSpaces>1547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2023-04-26T10:33:20Z</cp:lastPrinted>
  <dcterms:modified xsi:type="dcterms:W3CDTF">2023-09-05T09:46:32Z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