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9.jpeg" ContentType="image/jpeg"/>
  <Override PartName="/word/media/image1.jpeg" ContentType="image/jpeg"/>
  <Override PartName="/word/media/image2.jpeg" ContentType="image/jpeg"/>
  <Override PartName="/word/media/image10.emf" ContentType="image/x-emf"/>
  <Override PartName="/word/media/image3.jpeg" ContentType="image/jpeg"/>
  <Override PartName="/word/media/image6.jpeg" ContentType="image/jpeg"/>
  <Override PartName="/word/media/image4.png" ContentType="image/png"/>
  <Override PartName="/word/media/image5.jpeg" ContentType="image/jpeg"/>
  <Override PartName="/word/media/image7.jpeg" ContentType="image/jpeg"/>
  <Override PartName="/word/media/image8.jpeg" ContentType="image/jpeg"/>
  <Override PartName="/word/media/image11.emf" ContentType="image/x-emf"/>
  <Override PartName="/word/media/image18.jpeg" ContentType="image/jpeg"/>
  <Override PartName="/word/media/image12.png" ContentType="image/png"/>
  <Override PartName="/word/media/image13.emf" ContentType="image/x-emf"/>
  <Override PartName="/word/media/image14.emf" ContentType="image/x-emf"/>
  <Override PartName="/word/media/image15.emf" ContentType="image/x-emf"/>
  <Override PartName="/word/media/image16.emf" ContentType="image/x-emf"/>
  <Override PartName="/word/media/image17.jpeg" ContentType="image/jpeg"/>
  <Override PartName="/word/fontTable.xml" ContentType="application/vnd.openxmlformats-officedocument.wordprocessingml.fontTable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_rels/chart1.xml.rels" ContentType="application/vnd.openxmlformats-package.relationships+xml"/>
  <Override PartName="/word/charts/_rels/chart2.xml.rels" ContentType="application/vnd.openxmlformats-package.relationships+xml"/>
  <Override PartName="/word/charts/_rels/chart3.xml.rels" ContentType="application/vnd.openxmlformats-package.relationships+xml"/>
  <Override PartName="/word/theme/theme1.xml" ContentType="application/vnd.openxmlformats-officedocument.theme+xml"/>
  <Override PartName="/word/embeddings/oleObject1.bin" ContentType="application/vnd.openxmlformats-officedocument.oleObject"/>
  <Override PartName="/word/embeddings/oleObject2.bin" ContentType="application/vnd.openxmlformats-officedocument.oleObject"/>
  <Override PartName="/word/embeddings/_____Microsoft_Office_Excel1.xlsx" ContentType="application/vnd.openxmlformats-officedocument.spreadsheetml.sheet"/>
  <Override PartName="/word/embeddings/oleObject3.bin" ContentType="application/vnd.openxmlformats-officedocument.oleObject"/>
  <Override PartName="/word/embeddings/oleObject4.bin" ContentType="application/vnd.openxmlformats-officedocument.oleObject"/>
  <Override PartName="/word/embeddings/_____Microsoft_Office_Excel3.xlsx" ContentType="application/vnd.openxmlformats-officedocument.spreadsheetml.sheet"/>
  <Override PartName="/word/embeddings/oleObject5.bin" ContentType="application/vnd.openxmlformats-officedocument.oleObject"/>
  <Override PartName="/word/embeddings/oleObject6.bin" ContentType="application/vnd.openxmlformats-officedocument.oleObject"/>
  <Override PartName="/word/embeddings/_____Microsoft_Office_Excel2.xlsx" ContentType="application/vnd.openxmlformats-officedocument.spreadsheetml.sheet"/>
  <Override PartName="/word/settings.xml" ContentType="application/vnd.openxmlformats-officedocument.wordprocessingml.setting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ackground w:color="EAF1DD"/>
  <w:body>
    <w:p>
      <w:pPr>
        <w:pStyle w:val="Normal"/>
        <w:spacing w:lineRule="auto" w:line="240"/>
        <w:rPr>
          <w:rFonts w:ascii="Times New Roman" w:hAnsi="Times New Roman"/>
          <w:b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</w:r>
    </w:p>
    <w:p>
      <w:pPr>
        <w:pStyle w:val="Normal"/>
        <w:spacing w:lineRule="auto" w:line="240"/>
        <w:rPr>
          <w:rFonts w:ascii="Times New Roman" w:hAnsi="Times New Roman"/>
          <w:b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</w:r>
    </w:p>
    <w:p>
      <w:pPr>
        <w:pStyle w:val="Normal"/>
        <w:spacing w:lineRule="auto" w:line="240"/>
        <w:rPr>
          <w:rFonts w:ascii="Times New Roman" w:hAnsi="Times New Roman"/>
          <w:b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</w:r>
    </w:p>
    <w:p>
      <w:pPr>
        <w:pStyle w:val="Normal"/>
        <w:spacing w:lineRule="auto" w:line="240"/>
        <w:rPr>
          <w:rFonts w:ascii="Times New Roman" w:hAnsi="Times New Roman"/>
          <w:b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</w:r>
    </w:p>
    <w:p>
      <w:pPr>
        <w:pStyle w:val="Normal"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mc:AlternateContent>
          <mc:Choice Requires="wps">
            <w:drawing>
              <wp:anchor behindDoc="0" distT="0" distB="-16510" distL="114300" distR="97155" simplePos="0" locked="0" layoutInCell="1" allowOverlap="1" relativeHeight="6">
                <wp:simplePos x="0" y="0"/>
                <wp:positionH relativeFrom="column">
                  <wp:posOffset>-392430</wp:posOffset>
                </wp:positionH>
                <wp:positionV relativeFrom="paragraph">
                  <wp:posOffset>67945</wp:posOffset>
                </wp:positionV>
                <wp:extent cx="7075805" cy="1882775"/>
                <wp:effectExtent l="0" t="0" r="17145" b="17145"/>
                <wp:wrapNone/>
                <wp:docPr id="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5080" cy="188208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ffff"/>
                            </a:gs>
                            <a:gs pos="100000">
                              <a:srgbClr val="d6e3bc"/>
                            </a:gs>
                          </a:gsLst>
                          <a:lin ang="5400000"/>
                        </a:gradFill>
                        <a:ln w="12600">
                          <a:solidFill>
                            <a:srgbClr val="c2d69b"/>
                          </a:solidFill>
                          <a:round/>
                        </a:ln>
                        <a:effectLst>
                          <a:outerShdw dir="2700000" dist="24130">
                            <a:srgbClr val="4e6128"/>
                          </a:outerShdw>
                        </a:effectLst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spacing w:lineRule="auto" w:line="240"/>
                              <w:jc w:val="center"/>
                              <w:rPr>
                                <w:rFonts w:ascii="Times New Roman" w:hAnsi="Times New Roman"/>
                                <w:b/>
                                <w:b/>
                                <w:color w:val="17365D"/>
                                <w:sz w:val="96"/>
                                <w:szCs w:val="5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17365D"/>
                                <w:sz w:val="96"/>
                                <w:szCs w:val="56"/>
                              </w:rPr>
                              <w:t>Бюджет для граждан</w:t>
                            </w:r>
                          </w:p>
                          <w:p>
                            <w:pPr>
                              <w:pStyle w:val="Style20"/>
                              <w:spacing w:before="0" w:after="200"/>
                              <w:jc w:val="center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fillcolor="#d6e3bc" stroked="t" style="position:absolute;margin-left:-30.9pt;margin-top:5.35pt;width:557.05pt;height:148.15pt">
                <w10:wrap type="square"/>
                <v:fill o:detectmouseclick="t" color2="white"/>
                <v:stroke color="#c2d69b" weight="12600" joinstyle="round" endcap="flat"/>
                <v:shadow on="t" obscured="f" color="#4e6128"/>
                <v:textbox>
                  <w:txbxContent>
                    <w:p>
                      <w:pPr>
                        <w:pStyle w:val="Style20"/>
                        <w:spacing w:lineRule="auto" w:line="240"/>
                        <w:jc w:val="center"/>
                        <w:rPr>
                          <w:rFonts w:ascii="Times New Roman" w:hAnsi="Times New Roman"/>
                          <w:b/>
                          <w:b/>
                          <w:color w:val="17365D"/>
                          <w:sz w:val="96"/>
                          <w:szCs w:val="56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17365D"/>
                          <w:sz w:val="96"/>
                          <w:szCs w:val="56"/>
                        </w:rPr>
                        <w:t>Бюджет для граждан</w:t>
                      </w:r>
                    </w:p>
                    <w:p>
                      <w:pPr>
                        <w:pStyle w:val="Style20"/>
                        <w:spacing w:before="0" w:after="200"/>
                        <w:jc w:val="center"/>
                        <w:rPr/>
                      </w:pPr>
                      <w:r>
                        <w:rPr/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</w:p>
    <w:p>
      <w:pPr>
        <w:pStyle w:val="Normal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</w:p>
    <w:p>
      <w:pPr>
        <w:pStyle w:val="Normal"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</w:p>
    <w:p>
      <w:pPr>
        <w:pStyle w:val="Normal"/>
        <w:jc w:val="center"/>
        <w:rPr>
          <w:rFonts w:ascii="Times New Roman" w:hAnsi="Times New Roman"/>
          <w:b/>
          <w:b/>
          <w:sz w:val="28"/>
          <w:szCs w:val="28"/>
        </w:rPr>
      </w:pPr>
      <w:r>
        <w:rPr/>
        <mc:AlternateContent>
          <mc:Choice Requires="wps">
            <w:drawing>
              <wp:inline distT="0" distB="0" distL="0" distR="0">
                <wp:extent cx="9036050" cy="947420"/>
                <wp:effectExtent l="0" t="0" r="0" b="0"/>
                <wp:docPr id="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35280" cy="946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NormalWeb"/>
                              <w:spacing w:beforeAutospacing="0" w:before="0" w:afterAutospacing="0" w:after="0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shape_0" stroked="f" style="position:absolute;margin-left:0pt;margin-top:0pt;width:711.4pt;height:74.5pt">
                <w10:wrap type="none"/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NormalWeb"/>
                        <w:spacing w:beforeAutospacing="0" w:before="0" w:afterAutospacing="0" w:after="0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mc:AlternateContent>
          <mc:Choice Requires="wps">
            <w:drawing>
              <wp:anchor behindDoc="0" distT="0" distB="-16510" distL="114300" distR="97155" simplePos="0" locked="0" layoutInCell="1" allowOverlap="1" relativeHeight="5">
                <wp:simplePos x="0" y="0"/>
                <wp:positionH relativeFrom="column">
                  <wp:posOffset>635</wp:posOffset>
                </wp:positionH>
                <wp:positionV relativeFrom="paragraph">
                  <wp:posOffset>236855</wp:posOffset>
                </wp:positionV>
                <wp:extent cx="6382385" cy="1543685"/>
                <wp:effectExtent l="0" t="0" r="17145" b="17145"/>
                <wp:wrapNone/>
                <wp:docPr id="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20" cy="154296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ffff"/>
                            </a:gs>
                            <a:gs pos="100000">
                              <a:srgbClr val="d6e3bc"/>
                            </a:gs>
                          </a:gsLst>
                          <a:lin ang="5400000"/>
                        </a:gradFill>
                        <a:ln w="12600">
                          <a:solidFill>
                            <a:srgbClr val="c2d69b"/>
                          </a:solidFill>
                          <a:round/>
                        </a:ln>
                        <a:effectLst>
                          <a:outerShdw dir="2700000" dist="24130">
                            <a:srgbClr val="4e6128"/>
                          </a:outerShdw>
                        </a:effectLst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spacing w:lineRule="auto" w:line="240" w:before="0" w:after="200"/>
                              <w:jc w:val="center"/>
                              <w:rPr/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17365D"/>
                                <w:sz w:val="32"/>
                                <w:szCs w:val="32"/>
                              </w:rPr>
                              <w:t xml:space="preserve">к решению «Совета Знаменского муниципального образования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244061" w:themeColor="accent1" w:themeShade="80"/>
                                <w:sz w:val="32"/>
                                <w:szCs w:val="32"/>
                              </w:rPr>
                              <w:t>№2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244061" w:themeColor="accent1" w:themeShade="80"/>
                                <w:sz w:val="32"/>
                                <w:szCs w:val="32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244061" w:themeColor="accent1" w:themeShade="80"/>
                                <w:sz w:val="32"/>
                                <w:szCs w:val="32"/>
                              </w:rPr>
                              <w:t xml:space="preserve"> от 2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244061" w:themeColor="accent1" w:themeShade="80"/>
                                <w:sz w:val="32"/>
                                <w:szCs w:val="32"/>
                              </w:rPr>
                              <w:t>5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244061" w:themeColor="accent1" w:themeShade="80"/>
                                <w:sz w:val="32"/>
                                <w:szCs w:val="32"/>
                              </w:rPr>
                              <w:t xml:space="preserve"> декабря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17365D"/>
                                <w:sz w:val="32"/>
                                <w:szCs w:val="32"/>
                              </w:rPr>
                              <w:t xml:space="preserve"> 2023 года «О бюджете Знаменского муниципального образования на 2024 год и на плановый период 2025-2026 годов»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fillcolor="#d6e3bc" stroked="t" style="position:absolute;margin-left:0.05pt;margin-top:18.65pt;width:502.45pt;height:121.45pt">
                <w10:wrap type="square"/>
                <v:fill o:detectmouseclick="t" color2="white"/>
                <v:stroke color="#c2d69b" weight="12600" joinstyle="round" endcap="flat"/>
                <v:shadow on="t" obscured="f" color="#4e6128"/>
                <v:textbox>
                  <w:txbxContent>
                    <w:p>
                      <w:pPr>
                        <w:pStyle w:val="Style20"/>
                        <w:spacing w:lineRule="auto" w:line="240" w:before="0" w:after="200"/>
                        <w:jc w:val="center"/>
                        <w:rPr/>
                      </w:pPr>
                      <w:r>
                        <w:rPr>
                          <w:rFonts w:ascii="Times New Roman" w:hAnsi="Times New Roman"/>
                          <w:b/>
                          <w:color w:val="17365D"/>
                          <w:sz w:val="32"/>
                          <w:szCs w:val="32"/>
                        </w:rPr>
                        <w:t xml:space="preserve">к решению «Совета Знаменского муниципального образования </w:t>
                      </w:r>
                      <w:r>
                        <w:rPr>
                          <w:rFonts w:ascii="Times New Roman" w:hAnsi="Times New Roman"/>
                          <w:b/>
                          <w:color w:val="244061" w:themeColor="accent1" w:themeShade="80"/>
                          <w:sz w:val="32"/>
                          <w:szCs w:val="32"/>
                        </w:rPr>
                        <w:t>№2</w:t>
                      </w:r>
                      <w:r>
                        <w:rPr>
                          <w:rFonts w:ascii="Times New Roman" w:hAnsi="Times New Roman"/>
                          <w:b/>
                          <w:color w:val="244061" w:themeColor="accent1" w:themeShade="80"/>
                          <w:sz w:val="32"/>
                          <w:szCs w:val="32"/>
                        </w:rPr>
                        <w:t>1</w:t>
                      </w:r>
                      <w:r>
                        <w:rPr>
                          <w:rFonts w:ascii="Times New Roman" w:hAnsi="Times New Roman"/>
                          <w:b/>
                          <w:color w:val="244061" w:themeColor="accent1" w:themeShade="80"/>
                          <w:sz w:val="32"/>
                          <w:szCs w:val="32"/>
                        </w:rPr>
                        <w:t xml:space="preserve"> от 2</w:t>
                      </w:r>
                      <w:r>
                        <w:rPr>
                          <w:rFonts w:ascii="Times New Roman" w:hAnsi="Times New Roman"/>
                          <w:b/>
                          <w:color w:val="244061" w:themeColor="accent1" w:themeShade="80"/>
                          <w:sz w:val="32"/>
                          <w:szCs w:val="32"/>
                        </w:rPr>
                        <w:t>5</w:t>
                      </w:r>
                      <w:r>
                        <w:rPr>
                          <w:rFonts w:ascii="Times New Roman" w:hAnsi="Times New Roman"/>
                          <w:b/>
                          <w:color w:val="244061" w:themeColor="accent1" w:themeShade="80"/>
                          <w:sz w:val="32"/>
                          <w:szCs w:val="32"/>
                        </w:rPr>
                        <w:t xml:space="preserve"> декабря</w:t>
                      </w:r>
                      <w:r>
                        <w:rPr>
                          <w:rFonts w:ascii="Times New Roman" w:hAnsi="Times New Roman"/>
                          <w:b/>
                          <w:color w:val="17365D"/>
                          <w:sz w:val="32"/>
                          <w:szCs w:val="32"/>
                        </w:rPr>
                        <w:t xml:space="preserve"> 2023 года «О бюджете Знаменского муниципального образования на 2024 год и на плановый период 2025-2026 годов»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</w:r>
    </w:p>
    <w:p>
      <w:pPr>
        <w:pStyle w:val="ListParagraph"/>
        <w:spacing w:lineRule="auto" w:line="240" w:before="0" w:after="0"/>
        <w:ind w:left="0" w:firstLine="360"/>
        <w:jc w:val="right"/>
        <w:rPr>
          <w:rFonts w:ascii="Times New Roman" w:hAnsi="Times New Roman"/>
          <w:b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</w:r>
    </w:p>
    <w:p>
      <w:pPr>
        <w:pStyle w:val="ListParagraph"/>
        <w:spacing w:lineRule="auto" w:line="240" w:before="0" w:after="0"/>
        <w:ind w:left="0" w:firstLine="360"/>
        <w:jc w:val="right"/>
        <w:rPr>
          <w:rFonts w:ascii="Times New Roman" w:hAnsi="Times New Roman"/>
          <w:b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</w:r>
    </w:p>
    <w:p>
      <w:pPr>
        <w:pStyle w:val="ListParagraph"/>
        <w:spacing w:lineRule="auto" w:line="240" w:before="0" w:after="0"/>
        <w:ind w:left="0" w:firstLine="360"/>
        <w:jc w:val="right"/>
        <w:rPr>
          <w:rFonts w:ascii="Times New Roman" w:hAnsi="Times New Roman"/>
          <w:b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</w:r>
    </w:p>
    <w:p>
      <w:pPr>
        <w:pStyle w:val="ListParagraph"/>
        <w:spacing w:lineRule="auto" w:line="240" w:before="0" w:after="0"/>
        <w:ind w:left="0" w:firstLine="360"/>
        <w:jc w:val="right"/>
        <w:rPr>
          <w:rFonts w:ascii="Times New Roman" w:hAnsi="Times New Roman"/>
          <w:b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</w:r>
    </w:p>
    <w:p>
      <w:pPr>
        <w:pStyle w:val="Normal"/>
        <w:spacing w:lineRule="auto" w:line="240"/>
        <w:ind w:firstLine="709"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/>
        <w:ind w:firstLine="709"/>
        <w:jc w:val="center"/>
        <w:rPr>
          <w:rFonts w:ascii="Times New Roman" w:hAnsi="Times New Roman"/>
          <w:b/>
          <w:b/>
          <w:sz w:val="28"/>
          <w:szCs w:val="28"/>
        </w:rPr>
      </w:pPr>
      <w:r>
        <w:rPr/>
        <mc:AlternateContent>
          <mc:Choice Requires="wps">
            <w:drawing>
              <wp:inline distT="0" distB="0" distL="0" distR="0">
                <wp:extent cx="5979160" cy="3775075"/>
                <wp:effectExtent l="0" t="0" r="0" b="0"/>
                <wp:docPr id="7" name="Picture 1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0" y="0"/>
                          <a:ext cx="5978520" cy="37746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algn="tl" blurRad="76200" dir="7800000" dist="38100" rotWithShape="0">
                            <a:srgbClr val="000000">
                              <a:alpha val="40000"/>
                            </a:srgbClr>
                          </a:outerShdw>
                        </a:effectLst>
                        <a:scene3d>
                          <a:camera prst="orthographicFront"/>
                          <a:lightRig dir="t" rig="contrasting">
                            <a:rot lat="0" lon="0" rev="4200000"/>
                          </a:lightRig>
                        </a:scene3d>
                        <a:sp3d prstMaterial="plastic">
                          <a:bevelT prst="relaxedInset" w="381000" h="114300"/>
                          <a:contourClr>
                            <a:srgbClr val="969696"/>
                          </a:contourClr>
                        </a:sp3d>
                      </pic:spPr>
                    </pic:pic>
                  </a:graphicData>
                </a:graphic>
              </wp:inline>
            </w:drawing>
          </mc:Choice>
          <mc:Fallback>
            <w:pict>
              <v:rect id="shape_0" ID="Picture 1" stroked="f" style="position:absolute;margin-left:0pt;margin-top:0pt;width:470.7pt;height:297.15pt">
                <v:imagedata r:id="rId2" o:detectmouseclick="t"/>
                <w10:wrap type="none"/>
                <v:stroke color="#3465a4" joinstyle="round" endcap="flat"/>
              </v:rect>
            </w:pict>
          </mc:Fallback>
        </mc:AlternateContent>
      </w:r>
    </w:p>
    <w:p>
      <w:pPr>
        <w:pStyle w:val="Normal"/>
        <w:spacing w:lineRule="auto" w:line="240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/>
        <w:ind w:firstLine="709"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Уважаемые жители Знаменского муниципального образования.</w:t>
      </w:r>
    </w:p>
    <w:p>
      <w:pPr>
        <w:pStyle w:val="Normal"/>
        <w:spacing w:lineRule="auto" w:line="24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Одной из главных задач бюджетной политики является обеспечение прозрачности и открытости бюджетного процесса. Для привлечения большого количества граждан к участию в обсуждении вопросов формирования бюджета района и его исполнения разработан «Бюджет для граждан».</w:t>
      </w:r>
    </w:p>
    <w:p>
      <w:pPr>
        <w:pStyle w:val="Normal"/>
        <w:spacing w:lineRule="auto" w:line="24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«Бюджет для граждан» предназначен, прежде всего, для жителей, не обладающих специальными знаниями в сфере бюджетного законодательства. Информация «Бюджет для граждан» в доступной форме знакомит граждан с основными характеристиками бюджета Знаменского муниципального образования.</w:t>
      </w:r>
    </w:p>
    <w:p>
      <w:pPr>
        <w:pStyle w:val="Normal"/>
        <w:spacing w:lineRule="auto" w:line="240"/>
        <w:ind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30"/>
          <w:szCs w:val="30"/>
        </w:rPr>
        <w:t>Бюджетный процесс - ежегодное формирование и исполнение бюджета</w:t>
      </w:r>
    </w:p>
    <w:p>
      <w:pPr>
        <w:pStyle w:val="Normal"/>
        <w:spacing w:lineRule="auto" w:line="240"/>
        <w:ind w:firstLine="708"/>
        <w:jc w:val="both"/>
        <w:rPr>
          <w:rFonts w:ascii="Times New Roman" w:hAnsi="Times New Roman"/>
          <w:sz w:val="32"/>
          <w:szCs w:val="32"/>
        </w:rPr>
      </w:pPr>
      <w:r>
        <w:rPr/>
        <w:drawing>
          <wp:inline distT="0" distB="0" distL="0" distR="0">
            <wp:extent cx="5848350" cy="2857500"/>
            <wp:effectExtent l="0" t="0" r="0" b="0"/>
            <wp:docPr id="8" name="Рисунок 13" descr="http://xn----8sbeefyhce0ajccahxgn.xn--p1ai/tinybrowser/images/photo/2017/06-iyun/01/_full/_byudzhet-dlya-grazhdan-2015-god-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13" descr="http://xn----8sbeefyhce0ajccahxgn.xn--p1ai/tinybrowser/images/photo/2017/06-iyun/01/_full/_byudzhet-dlya-grazhdan-2015-god-006.jp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/>
        <w:ind w:firstLine="708"/>
        <w:jc w:val="center"/>
        <w:rPr>
          <w:rFonts w:ascii="Times New Roman" w:hAnsi="Times New Roman"/>
          <w:b/>
          <w:b/>
          <w:color w:val="FF0000"/>
          <w:sz w:val="32"/>
          <w:szCs w:val="32"/>
        </w:rPr>
      </w:pPr>
      <w:r>
        <w:rPr>
          <w:rFonts w:ascii="Times New Roman" w:hAnsi="Times New Roman"/>
          <w:b/>
          <w:color w:val="FF0000"/>
          <w:sz w:val="32"/>
          <w:szCs w:val="32"/>
        </w:rPr>
        <w:t>Что такое бюджет?</w:t>
      </w:r>
    </w:p>
    <w:p>
      <w:pPr>
        <w:pStyle w:val="Normal"/>
        <w:spacing w:lineRule="auto" w:line="240"/>
        <w:ind w:firstLine="142"/>
        <w:jc w:val="both"/>
        <w:rPr>
          <w:rFonts w:ascii="Times New Roman" w:hAnsi="Times New Roman"/>
          <w:sz w:val="32"/>
          <w:szCs w:val="32"/>
        </w:rPr>
      </w:pPr>
      <w:r>
        <w:rPr/>
        <mc:AlternateContent>
          <mc:Choice Requires="wps">
            <w:drawing>
              <wp:inline distT="0" distB="0" distL="0" distR="0">
                <wp:extent cx="6021070" cy="3239770"/>
                <wp:effectExtent l="0" t="0" r="0" b="0"/>
                <wp:docPr id="9" name="Picture 45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45" descr=""/>
                        <pic:cNvPicPr/>
                      </pic:nvPicPr>
                      <pic:blipFill>
                        <a:blip r:embed="rId4"/>
                        <a:stretch/>
                      </pic:blipFill>
                      <pic:spPr>
                        <a:xfrm>
                          <a:off x="0" y="0"/>
                          <a:ext cx="6020280" cy="32392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algn="tl" blurRad="76200" dir="7800000" dist="38100" rotWithShape="0">
                            <a:srgbClr val="000000">
                              <a:alpha val="40000"/>
                            </a:srgbClr>
                          </a:outerShdw>
                        </a:effectLst>
                        <a:scene3d>
                          <a:camera prst="orthographicFront"/>
                          <a:lightRig dir="t" rig="contrasting">
                            <a:rot lat="0" lon="0" rev="4200000"/>
                          </a:lightRig>
                        </a:scene3d>
                        <a:sp3d prstMaterial="plastic">
                          <a:bevelT prst="relaxedInset" w="381000" h="114300"/>
                          <a:contourClr>
                            <a:srgbClr val="969696"/>
                          </a:contourClr>
                        </a:sp3d>
                      </pic:spPr>
                    </pic:pic>
                  </a:graphicData>
                </a:graphic>
              </wp:inline>
            </w:drawing>
          </mc:Choice>
          <mc:Fallback>
            <w:pict>
              <v:rect id="shape_0" ID="Picture 45" stroked="f" style="position:absolute;margin-left:0pt;margin-top:0pt;width:474pt;height:255pt">
                <v:imagedata r:id="rId4" o:detectmouseclick="t"/>
                <w10:wrap type="none"/>
                <v:stroke color="#3465a4" joinstyle="round" endcap="flat"/>
              </v:rect>
            </w:pict>
          </mc:Fallback>
        </mc:AlternateContent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Бюджет Знаменского муниципального образования  </w:t>
      </w:r>
    </w:p>
    <w:p>
      <w:pPr>
        <w:pStyle w:val="Normal"/>
        <w:spacing w:lineRule="auto" w:line="240" w:before="0" w:after="0"/>
        <w:ind w:left="7080"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тыс. руб.</w:t>
      </w:r>
    </w:p>
    <w:tbl>
      <w:tblPr>
        <w:tblW w:w="10312" w:type="dxa"/>
        <w:jc w:val="left"/>
        <w:tblInd w:w="245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0" w:type="dxa"/>
          <w:left w:w="103" w:type="dxa"/>
          <w:bottom w:w="0" w:type="dxa"/>
          <w:right w:w="108" w:type="dxa"/>
        </w:tblCellMar>
        <w:tblLook w:val="00a0"/>
      </w:tblPr>
      <w:tblGrid>
        <w:gridCol w:w="4110"/>
        <w:gridCol w:w="1276"/>
        <w:gridCol w:w="1417"/>
        <w:gridCol w:w="1254"/>
        <w:gridCol w:w="1127"/>
        <w:gridCol w:w="1127"/>
      </w:tblGrid>
      <w:tr>
        <w:trPr>
          <w:trHeight w:val="324" w:hRule="atLeast"/>
        </w:trPr>
        <w:tc>
          <w:tcPr>
            <w:tcW w:w="4110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Показатели</w:t>
            </w:r>
          </w:p>
        </w:tc>
        <w:tc>
          <w:tcPr>
            <w:tcW w:w="1276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Calibri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Отчет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Calibri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2022 год</w:t>
            </w:r>
          </w:p>
        </w:tc>
        <w:tc>
          <w:tcPr>
            <w:tcW w:w="1417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Calibri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Оценка 2023 год</w:t>
            </w:r>
          </w:p>
        </w:tc>
        <w:tc>
          <w:tcPr>
            <w:tcW w:w="350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План</w:t>
            </w:r>
          </w:p>
        </w:tc>
      </w:tr>
      <w:tr>
        <w:trPr>
          <w:trHeight w:val="312" w:hRule="atLeast"/>
        </w:trPr>
        <w:tc>
          <w:tcPr>
            <w:tcW w:w="4110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1276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1417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12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2024 год</w:t>
            </w:r>
          </w:p>
        </w:tc>
        <w:tc>
          <w:tcPr>
            <w:tcW w:w="1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2025 год</w:t>
            </w:r>
          </w:p>
        </w:tc>
        <w:tc>
          <w:tcPr>
            <w:tcW w:w="1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2026 год</w:t>
            </w:r>
          </w:p>
        </w:tc>
      </w:tr>
      <w:tr>
        <w:trPr/>
        <w:tc>
          <w:tcPr>
            <w:tcW w:w="41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Доходы, в том числе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9536,8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9338,3</w:t>
            </w:r>
          </w:p>
        </w:tc>
        <w:tc>
          <w:tcPr>
            <w:tcW w:w="12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8923,7</w:t>
            </w:r>
          </w:p>
        </w:tc>
        <w:tc>
          <w:tcPr>
            <w:tcW w:w="1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4458,9</w:t>
            </w:r>
          </w:p>
        </w:tc>
        <w:tc>
          <w:tcPr>
            <w:tcW w:w="1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4621,3</w:t>
            </w:r>
          </w:p>
        </w:tc>
      </w:tr>
      <w:tr>
        <w:trPr/>
        <w:tc>
          <w:tcPr>
            <w:tcW w:w="41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Налоговые, неналоговые доходы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4544,4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3420,6</w:t>
            </w:r>
          </w:p>
        </w:tc>
        <w:tc>
          <w:tcPr>
            <w:tcW w:w="12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3940,8</w:t>
            </w:r>
          </w:p>
        </w:tc>
        <w:tc>
          <w:tcPr>
            <w:tcW w:w="1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3975,9</w:t>
            </w:r>
          </w:p>
        </w:tc>
        <w:tc>
          <w:tcPr>
            <w:tcW w:w="1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4099,2</w:t>
            </w:r>
          </w:p>
        </w:tc>
      </w:tr>
      <w:tr>
        <w:trPr/>
        <w:tc>
          <w:tcPr>
            <w:tcW w:w="41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Безвозмездные поступления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4992,4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5917,7</w:t>
            </w:r>
          </w:p>
        </w:tc>
        <w:tc>
          <w:tcPr>
            <w:tcW w:w="12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4982,9</w:t>
            </w:r>
          </w:p>
        </w:tc>
        <w:tc>
          <w:tcPr>
            <w:tcW w:w="1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483,0</w:t>
            </w:r>
          </w:p>
        </w:tc>
        <w:tc>
          <w:tcPr>
            <w:tcW w:w="1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522,1</w:t>
            </w:r>
          </w:p>
        </w:tc>
      </w:tr>
      <w:tr>
        <w:trPr/>
        <w:tc>
          <w:tcPr>
            <w:tcW w:w="41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Расходы, в том числе 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12206,7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10242,8</w:t>
            </w:r>
          </w:p>
        </w:tc>
        <w:tc>
          <w:tcPr>
            <w:tcW w:w="12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8923,7</w:t>
            </w:r>
          </w:p>
        </w:tc>
        <w:tc>
          <w:tcPr>
            <w:tcW w:w="1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4458,9</w:t>
            </w:r>
          </w:p>
        </w:tc>
        <w:tc>
          <w:tcPr>
            <w:tcW w:w="1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4621,3</w:t>
            </w:r>
          </w:p>
        </w:tc>
      </w:tr>
      <w:tr>
        <w:trPr/>
        <w:tc>
          <w:tcPr>
            <w:tcW w:w="41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Условно утвержденные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12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1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105,0</w:t>
            </w:r>
          </w:p>
        </w:tc>
        <w:tc>
          <w:tcPr>
            <w:tcW w:w="1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205,0</w:t>
            </w:r>
          </w:p>
        </w:tc>
      </w:tr>
      <w:tr>
        <w:trPr/>
        <w:tc>
          <w:tcPr>
            <w:tcW w:w="41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2998,6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3226,3</w:t>
            </w:r>
          </w:p>
        </w:tc>
        <w:tc>
          <w:tcPr>
            <w:tcW w:w="12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2441,9</w:t>
            </w:r>
          </w:p>
        </w:tc>
        <w:tc>
          <w:tcPr>
            <w:tcW w:w="1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2357,6</w:t>
            </w:r>
          </w:p>
        </w:tc>
        <w:tc>
          <w:tcPr>
            <w:tcW w:w="1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2314,6</w:t>
            </w:r>
          </w:p>
        </w:tc>
      </w:tr>
      <w:tr>
        <w:trPr/>
        <w:tc>
          <w:tcPr>
            <w:tcW w:w="41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5364,0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</w:t>
            </w:r>
            <w:r>
              <w:rPr>
                <w:rFonts w:ascii="Times New Roman" w:hAnsi="Times New Roman"/>
                <w:sz w:val="28"/>
                <w:szCs w:val="28"/>
              </w:rPr>
              <w:t>5929,4</w:t>
            </w:r>
          </w:p>
        </w:tc>
        <w:tc>
          <w:tcPr>
            <w:tcW w:w="12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5476,5</w:t>
            </w:r>
          </w:p>
        </w:tc>
        <w:tc>
          <w:tcPr>
            <w:tcW w:w="1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954,6</w:t>
            </w:r>
          </w:p>
        </w:tc>
        <w:tc>
          <w:tcPr>
            <w:tcW w:w="1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1062,7</w:t>
            </w:r>
          </w:p>
        </w:tc>
      </w:tr>
      <w:tr>
        <w:trPr/>
        <w:tc>
          <w:tcPr>
            <w:tcW w:w="41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263,6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288,1</w:t>
            </w:r>
          </w:p>
        </w:tc>
        <w:tc>
          <w:tcPr>
            <w:tcW w:w="12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347,0</w:t>
            </w:r>
          </w:p>
        </w:tc>
        <w:tc>
          <w:tcPr>
            <w:tcW w:w="1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383,5</w:t>
            </w:r>
          </w:p>
        </w:tc>
        <w:tc>
          <w:tcPr>
            <w:tcW w:w="1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418,8</w:t>
            </w:r>
          </w:p>
        </w:tc>
      </w:tr>
      <w:tr>
        <w:trPr/>
        <w:tc>
          <w:tcPr>
            <w:tcW w:w="41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Национальная безопасность и правоохранительная деятельность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20,0</w:t>
            </w:r>
          </w:p>
        </w:tc>
        <w:tc>
          <w:tcPr>
            <w:tcW w:w="12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1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1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41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3349,7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562,4</w:t>
            </w:r>
          </w:p>
        </w:tc>
        <w:tc>
          <w:tcPr>
            <w:tcW w:w="12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432,0</w:t>
            </w:r>
          </w:p>
        </w:tc>
        <w:tc>
          <w:tcPr>
            <w:tcW w:w="1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432,0</w:t>
            </w:r>
          </w:p>
        </w:tc>
        <w:tc>
          <w:tcPr>
            <w:tcW w:w="1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394,0</w:t>
            </w:r>
          </w:p>
        </w:tc>
      </w:tr>
      <w:tr>
        <w:trPr/>
        <w:tc>
          <w:tcPr>
            <w:tcW w:w="41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Другие расходы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228,3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216,6</w:t>
            </w:r>
          </w:p>
        </w:tc>
        <w:tc>
          <w:tcPr>
            <w:tcW w:w="12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226,2</w:t>
            </w:r>
          </w:p>
        </w:tc>
        <w:tc>
          <w:tcPr>
            <w:tcW w:w="1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226,2</w:t>
            </w:r>
          </w:p>
        </w:tc>
        <w:tc>
          <w:tcPr>
            <w:tcW w:w="1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226,2</w:t>
            </w:r>
          </w:p>
        </w:tc>
      </w:tr>
      <w:tr>
        <w:trPr/>
        <w:tc>
          <w:tcPr>
            <w:tcW w:w="41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Баланс (доходы-расходы)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(-)Дефицит или профицит(+)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-2669,9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-904,5</w:t>
            </w:r>
          </w:p>
        </w:tc>
        <w:tc>
          <w:tcPr>
            <w:tcW w:w="12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0,0</w:t>
            </w:r>
          </w:p>
        </w:tc>
        <w:tc>
          <w:tcPr>
            <w:tcW w:w="1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0,0</w:t>
            </w:r>
          </w:p>
        </w:tc>
        <w:tc>
          <w:tcPr>
            <w:tcW w:w="1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0,0</w:t>
            </w:r>
          </w:p>
        </w:tc>
      </w:tr>
    </w:tbl>
    <w:p>
      <w:pPr>
        <w:pStyle w:val="Normal"/>
        <w:spacing w:lineRule="auto" w:line="2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color w:val="FF0000"/>
          <w:sz w:val="32"/>
          <w:szCs w:val="32"/>
        </w:rPr>
      </w:pPr>
      <w:r>
        <w:rPr>
          <w:rFonts w:ascii="Times New Roman" w:hAnsi="Times New Roman"/>
          <w:b/>
          <w:color w:val="FF0000"/>
          <w:sz w:val="32"/>
          <w:szCs w:val="32"/>
        </w:rPr>
        <w:t>Зачем нужны бюджеты?</w:t>
      </w:r>
    </w:p>
    <w:p>
      <w:pPr>
        <w:pStyle w:val="Normal"/>
        <w:spacing w:lineRule="auto" w:line="2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выполнения своих задач муниципальному образованию необходим бюджет, который формируется за счет сбора налогов и безвозмездных поступлений направляемых на финансирование бюджетных расходов.</w:t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bCs/>
          <w:color w:val="404040"/>
          <w:sz w:val="32"/>
          <w:szCs w:val="32"/>
        </w:rPr>
      </w:pPr>
      <w:r>
        <w:rPr>
          <w:rFonts w:ascii="Times New Roman" w:hAnsi="Times New Roman"/>
          <w:b/>
          <w:bCs/>
          <w:color w:val="404040"/>
          <w:sz w:val="32"/>
          <w:szCs w:val="32"/>
        </w:rPr>
        <w:t>Ос</w:t>
      </w:r>
      <w:r>
        <w:rPr>
          <w:rFonts w:ascii="Times New Roman" w:hAnsi="Times New Roman"/>
          <w:b/>
          <w:bCs/>
          <w:color w:val="404040"/>
          <w:spacing w:val="-2"/>
          <w:sz w:val="32"/>
          <w:szCs w:val="32"/>
        </w:rPr>
        <w:t>н</w:t>
      </w:r>
      <w:r>
        <w:rPr>
          <w:rFonts w:ascii="Times New Roman" w:hAnsi="Times New Roman"/>
          <w:b/>
          <w:bCs/>
          <w:color w:val="404040"/>
          <w:spacing w:val="-9"/>
          <w:sz w:val="32"/>
          <w:szCs w:val="32"/>
        </w:rPr>
        <w:t>о</w:t>
      </w:r>
      <w:r>
        <w:rPr>
          <w:rFonts w:ascii="Times New Roman" w:hAnsi="Times New Roman"/>
          <w:b/>
          <w:bCs/>
          <w:color w:val="404040"/>
          <w:sz w:val="32"/>
          <w:szCs w:val="32"/>
        </w:rPr>
        <w:t>в</w:t>
      </w:r>
      <w:r>
        <w:rPr>
          <w:rFonts w:ascii="Times New Roman" w:hAnsi="Times New Roman"/>
          <w:b/>
          <w:bCs/>
          <w:color w:val="404040"/>
          <w:spacing w:val="-2"/>
          <w:sz w:val="32"/>
          <w:szCs w:val="32"/>
        </w:rPr>
        <w:t>н</w:t>
      </w:r>
      <w:r>
        <w:rPr>
          <w:rFonts w:ascii="Times New Roman" w:hAnsi="Times New Roman"/>
          <w:b/>
          <w:bCs/>
          <w:color w:val="404040"/>
          <w:spacing w:val="-1"/>
          <w:sz w:val="32"/>
          <w:szCs w:val="32"/>
        </w:rPr>
        <w:t>ы</w:t>
      </w:r>
      <w:r>
        <w:rPr>
          <w:rFonts w:ascii="Times New Roman" w:hAnsi="Times New Roman"/>
          <w:b/>
          <w:bCs/>
          <w:color w:val="404040"/>
          <w:sz w:val="32"/>
          <w:szCs w:val="32"/>
        </w:rPr>
        <w:t>е</w:t>
      </w:r>
      <w:r>
        <w:rPr>
          <w:rFonts w:ascii="Times New Roman" w:hAnsi="Times New Roman"/>
          <w:b/>
          <w:bCs/>
          <w:color w:val="404040"/>
          <w:spacing w:val="-4"/>
          <w:sz w:val="32"/>
          <w:szCs w:val="32"/>
        </w:rPr>
        <w:t>х</w:t>
      </w:r>
      <w:r>
        <w:rPr>
          <w:rFonts w:ascii="Times New Roman" w:hAnsi="Times New Roman"/>
          <w:b/>
          <w:bCs/>
          <w:color w:val="404040"/>
          <w:sz w:val="32"/>
          <w:szCs w:val="32"/>
        </w:rPr>
        <w:t>ар</w:t>
      </w:r>
      <w:r>
        <w:rPr>
          <w:rFonts w:ascii="Times New Roman" w:hAnsi="Times New Roman"/>
          <w:b/>
          <w:bCs/>
          <w:color w:val="404040"/>
          <w:spacing w:val="2"/>
          <w:sz w:val="32"/>
          <w:szCs w:val="32"/>
        </w:rPr>
        <w:t>а</w:t>
      </w:r>
      <w:r>
        <w:rPr>
          <w:rFonts w:ascii="Times New Roman" w:hAnsi="Times New Roman"/>
          <w:b/>
          <w:bCs/>
          <w:color w:val="404040"/>
          <w:sz w:val="32"/>
          <w:szCs w:val="32"/>
        </w:rPr>
        <w:t>к</w:t>
      </w:r>
      <w:r>
        <w:rPr>
          <w:rFonts w:ascii="Times New Roman" w:hAnsi="Times New Roman"/>
          <w:b/>
          <w:bCs/>
          <w:color w:val="404040"/>
          <w:spacing w:val="-3"/>
          <w:sz w:val="32"/>
          <w:szCs w:val="32"/>
        </w:rPr>
        <w:t>т</w:t>
      </w:r>
      <w:r>
        <w:rPr>
          <w:rFonts w:ascii="Times New Roman" w:hAnsi="Times New Roman"/>
          <w:b/>
          <w:bCs/>
          <w:color w:val="404040"/>
          <w:sz w:val="32"/>
          <w:szCs w:val="32"/>
        </w:rPr>
        <w:t>ер</w:t>
      </w:r>
      <w:r>
        <w:rPr>
          <w:rFonts w:ascii="Times New Roman" w:hAnsi="Times New Roman"/>
          <w:b/>
          <w:bCs/>
          <w:color w:val="404040"/>
          <w:spacing w:val="-1"/>
          <w:sz w:val="32"/>
          <w:szCs w:val="32"/>
        </w:rPr>
        <w:t>и</w:t>
      </w:r>
      <w:r>
        <w:rPr>
          <w:rFonts w:ascii="Times New Roman" w:hAnsi="Times New Roman"/>
          <w:b/>
          <w:bCs/>
          <w:color w:val="404040"/>
          <w:sz w:val="32"/>
          <w:szCs w:val="32"/>
        </w:rPr>
        <w:t>с</w:t>
      </w:r>
      <w:r>
        <w:rPr>
          <w:rFonts w:ascii="Times New Roman" w:hAnsi="Times New Roman"/>
          <w:b/>
          <w:bCs/>
          <w:color w:val="404040"/>
          <w:spacing w:val="-3"/>
          <w:sz w:val="32"/>
          <w:szCs w:val="32"/>
        </w:rPr>
        <w:t>т</w:t>
      </w:r>
      <w:r>
        <w:rPr>
          <w:rFonts w:ascii="Times New Roman" w:hAnsi="Times New Roman"/>
          <w:b/>
          <w:bCs/>
          <w:color w:val="404040"/>
          <w:sz w:val="32"/>
          <w:szCs w:val="32"/>
        </w:rPr>
        <w:t>и</w:t>
      </w:r>
      <w:r>
        <w:rPr>
          <w:rFonts w:ascii="Times New Roman" w:hAnsi="Times New Roman"/>
          <w:b/>
          <w:bCs/>
          <w:color w:val="404040"/>
          <w:spacing w:val="-2"/>
          <w:sz w:val="32"/>
          <w:szCs w:val="32"/>
        </w:rPr>
        <w:t>к</w:t>
      </w:r>
      <w:r>
        <w:rPr>
          <w:rFonts w:ascii="Times New Roman" w:hAnsi="Times New Roman"/>
          <w:b/>
          <w:bCs/>
          <w:color w:val="404040"/>
          <w:sz w:val="32"/>
          <w:szCs w:val="32"/>
        </w:rPr>
        <w:t>иб</w:t>
      </w:r>
      <w:r>
        <w:rPr>
          <w:rFonts w:ascii="Times New Roman" w:hAnsi="Times New Roman"/>
          <w:b/>
          <w:bCs/>
          <w:color w:val="404040"/>
          <w:spacing w:val="-22"/>
          <w:sz w:val="32"/>
          <w:szCs w:val="32"/>
        </w:rPr>
        <w:t>ю</w:t>
      </w:r>
      <w:r>
        <w:rPr>
          <w:rFonts w:ascii="Times New Roman" w:hAnsi="Times New Roman"/>
          <w:b/>
          <w:bCs/>
          <w:color w:val="404040"/>
          <w:spacing w:val="-2"/>
          <w:sz w:val="32"/>
          <w:szCs w:val="32"/>
        </w:rPr>
        <w:t>д</w:t>
      </w:r>
      <w:r>
        <w:rPr>
          <w:rFonts w:ascii="Times New Roman" w:hAnsi="Times New Roman"/>
          <w:b/>
          <w:bCs/>
          <w:color w:val="404040"/>
          <w:spacing w:val="-5"/>
          <w:sz w:val="32"/>
          <w:szCs w:val="32"/>
        </w:rPr>
        <w:t>ж</w:t>
      </w:r>
      <w:r>
        <w:rPr>
          <w:rFonts w:ascii="Times New Roman" w:hAnsi="Times New Roman"/>
          <w:b/>
          <w:bCs/>
          <w:color w:val="404040"/>
          <w:sz w:val="32"/>
          <w:szCs w:val="32"/>
        </w:rPr>
        <w:t>е</w:t>
      </w:r>
      <w:r>
        <w:rPr>
          <w:rFonts w:ascii="Times New Roman" w:hAnsi="Times New Roman"/>
          <w:b/>
          <w:bCs/>
          <w:color w:val="404040"/>
          <w:spacing w:val="-8"/>
          <w:sz w:val="32"/>
          <w:szCs w:val="32"/>
        </w:rPr>
        <w:t>т</w:t>
      </w:r>
    </w:p>
    <w:tbl>
      <w:tblPr>
        <w:tblStyle w:val="a6"/>
        <w:tblW w:w="10206" w:type="dxa"/>
        <w:jc w:val="left"/>
        <w:tblInd w:w="245" w:type="dxa"/>
        <w:tblCellMar>
          <w:top w:w="0" w:type="dxa"/>
          <w:left w:w="83" w:type="dxa"/>
          <w:bottom w:w="0" w:type="dxa"/>
          <w:right w:w="108" w:type="dxa"/>
        </w:tblCellMar>
        <w:tblLook w:val="04a0"/>
      </w:tblPr>
      <w:tblGrid>
        <w:gridCol w:w="3402"/>
        <w:gridCol w:w="3260"/>
        <w:gridCol w:w="3544"/>
      </w:tblGrid>
      <w:tr>
        <w:trPr/>
        <w:tc>
          <w:tcPr>
            <w:tcW w:w="10206" w:type="dxa"/>
            <w:gridSpan w:val="3"/>
            <w:tcBorders>
              <w:top w:val="double" w:sz="4" w:space="0" w:color="76923C"/>
              <w:left w:val="double" w:sz="4" w:space="0" w:color="76923C"/>
              <w:bottom w:val="double" w:sz="4" w:space="0" w:color="76923C"/>
              <w:right w:val="double" w:sz="4" w:space="0" w:color="76923C"/>
              <w:insideH w:val="double" w:sz="4" w:space="0" w:color="76923C"/>
              <w:insideV w:val="double" w:sz="4" w:space="0" w:color="76923C"/>
            </w:tcBorders>
            <w:shd w:fill="auto" w:val="clear"/>
            <w:tcMar>
              <w:left w:w="83" w:type="dxa"/>
            </w:tcMar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/>
                <w:b/>
                <w:b/>
                <w:color w:val="76923C" w:themeColor="accent3" w:themeShade="bf"/>
                <w:sz w:val="32"/>
              </w:rPr>
            </w:pPr>
            <w:r>
              <w:rPr>
                <w:rFonts w:eastAsia="Calibri" w:cs="" w:ascii="Times New Roman" w:hAnsi="Times New Roman"/>
                <w:b/>
                <w:color w:val="76923C" w:themeColor="accent3" w:themeShade="bf"/>
                <w:sz w:val="32"/>
                <w:szCs w:val="22"/>
                <w:lang w:eastAsia="en-US"/>
              </w:rPr>
              <w:t>Доходы бюджета</w:t>
            </w:r>
          </w:p>
        </w:tc>
      </w:tr>
      <w:tr>
        <w:trPr>
          <w:trHeight w:val="425" w:hRule="exact"/>
        </w:trPr>
        <w:tc>
          <w:tcPr>
            <w:tcW w:w="3402" w:type="dxa"/>
            <w:tcBorders>
              <w:top w:val="double" w:sz="4" w:space="0" w:color="76923C"/>
              <w:left w:val="double" w:sz="4" w:space="0" w:color="76923C"/>
              <w:bottom w:val="double" w:sz="4" w:space="0" w:color="76923C"/>
              <w:right w:val="double" w:sz="4" w:space="0" w:color="76923C"/>
              <w:insideH w:val="double" w:sz="4" w:space="0" w:color="76923C"/>
              <w:insideV w:val="double" w:sz="4" w:space="0" w:color="76923C"/>
            </w:tcBorders>
            <w:shd w:color="auto" w:fill="76923C" w:themeFill="accent3" w:themeFillShade="bf" w:val="clear"/>
            <w:tcMar>
              <w:left w:w="83" w:type="dxa"/>
            </w:tcMar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/>
                <w:b/>
                <w:b/>
                <w:color w:val="FFFFFF" w:themeColor="background1"/>
                <w:sz w:val="24"/>
                <w:szCs w:val="24"/>
              </w:rPr>
            </w:pPr>
            <w:r>
              <w:rPr>
                <w:rFonts w:eastAsia="Calibri" w:cs="" w:ascii="Times New Roman" w:hAnsi="Times New Roman"/>
                <w:b/>
                <w:color w:val="FFFFFF" w:themeColor="background1"/>
                <w:sz w:val="24"/>
                <w:szCs w:val="24"/>
                <w:lang w:eastAsia="en-US"/>
              </w:rPr>
              <w:t>Налоговые доходы</w:t>
            </w:r>
          </w:p>
        </w:tc>
        <w:tc>
          <w:tcPr>
            <w:tcW w:w="3260" w:type="dxa"/>
            <w:tcBorders>
              <w:top w:val="double" w:sz="4" w:space="0" w:color="76923C"/>
              <w:left w:val="double" w:sz="4" w:space="0" w:color="76923C"/>
              <w:bottom w:val="double" w:sz="4" w:space="0" w:color="76923C"/>
              <w:right w:val="double" w:sz="4" w:space="0" w:color="76923C"/>
              <w:insideH w:val="double" w:sz="4" w:space="0" w:color="76923C"/>
              <w:insideV w:val="double" w:sz="4" w:space="0" w:color="76923C"/>
            </w:tcBorders>
            <w:shd w:color="auto" w:fill="76923C" w:themeFill="accent3" w:themeFillShade="bf" w:val="clear"/>
            <w:tcMar>
              <w:left w:w="83" w:type="dxa"/>
            </w:tcMar>
          </w:tcPr>
          <w:p>
            <w:pPr>
              <w:pStyle w:val="Normal"/>
              <w:jc w:val="center"/>
              <w:rPr>
                <w:rFonts w:ascii="Times New Roman" w:hAnsi="Times New Roman"/>
                <w:b/>
                <w:b/>
                <w:color w:val="FFFFFF" w:themeColor="background1"/>
                <w:sz w:val="24"/>
                <w:szCs w:val="24"/>
              </w:rPr>
            </w:pPr>
            <w:r>
              <w:rPr>
                <w:rFonts w:eastAsia="Calibri" w:cs="" w:ascii="Times New Roman" w:hAnsi="Times New Roman"/>
                <w:b/>
                <w:color w:val="FFFFFF" w:themeColor="background1"/>
                <w:sz w:val="24"/>
                <w:szCs w:val="24"/>
                <w:lang w:eastAsia="en-US"/>
              </w:rPr>
              <w:t>Неналоговые доходы</w:t>
            </w:r>
          </w:p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"/>
                <w:b/>
                <w:b/>
                <w:bCs/>
                <w:color w:val="FFFFFF" w:themeColor="background1"/>
                <w:sz w:val="32"/>
                <w:szCs w:val="32"/>
                <w:lang w:eastAsia="en-US"/>
              </w:rPr>
            </w:pPr>
            <w:r>
              <w:rPr>
                <w:rFonts w:eastAsia="Calibri" w:cs="" w:ascii="Times New Roman" w:hAnsi="Times New Roman"/>
                <w:b/>
                <w:bCs/>
                <w:color w:val="FFFFFF" w:themeColor="background1"/>
                <w:sz w:val="32"/>
                <w:szCs w:val="32"/>
                <w:lang w:eastAsia="en-US"/>
              </w:rPr>
            </w:r>
          </w:p>
        </w:tc>
        <w:tc>
          <w:tcPr>
            <w:tcW w:w="3544" w:type="dxa"/>
            <w:tcBorders>
              <w:top w:val="double" w:sz="4" w:space="0" w:color="76923C"/>
              <w:left w:val="double" w:sz="4" w:space="0" w:color="76923C"/>
              <w:bottom w:val="double" w:sz="4" w:space="0" w:color="76923C"/>
              <w:right w:val="double" w:sz="4" w:space="0" w:color="76923C"/>
              <w:insideH w:val="double" w:sz="4" w:space="0" w:color="76923C"/>
              <w:insideV w:val="double" w:sz="4" w:space="0" w:color="76923C"/>
            </w:tcBorders>
            <w:shd w:color="auto" w:fill="76923C" w:themeFill="accent3" w:themeFillShade="bf" w:val="clear"/>
            <w:tcMar>
              <w:left w:w="83" w:type="dxa"/>
            </w:tcMar>
          </w:tcPr>
          <w:p>
            <w:pPr>
              <w:pStyle w:val="Normal"/>
              <w:jc w:val="center"/>
              <w:rPr>
                <w:rFonts w:ascii="Times New Roman" w:hAnsi="Times New Roman"/>
                <w:b/>
                <w:b/>
                <w:color w:val="FFFFFF" w:themeColor="background1"/>
                <w:sz w:val="24"/>
                <w:szCs w:val="24"/>
              </w:rPr>
            </w:pPr>
            <w:r>
              <w:rPr>
                <w:rFonts w:eastAsia="Calibri" w:cs="" w:ascii="Times New Roman" w:hAnsi="Times New Roman"/>
                <w:b/>
                <w:color w:val="FFFFFF" w:themeColor="background1"/>
                <w:sz w:val="24"/>
                <w:szCs w:val="24"/>
                <w:lang w:eastAsia="en-US"/>
              </w:rPr>
              <w:t>Безвозмездные поступления</w:t>
            </w:r>
          </w:p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"/>
                <w:b/>
                <w:b/>
                <w:bCs/>
                <w:color w:val="FFFFFF" w:themeColor="background1"/>
                <w:sz w:val="32"/>
                <w:szCs w:val="32"/>
                <w:lang w:eastAsia="en-US"/>
              </w:rPr>
            </w:pPr>
            <w:r>
              <w:rPr>
                <w:rFonts w:eastAsia="Calibri" w:cs="" w:ascii="Times New Roman" w:hAnsi="Times New Roman"/>
                <w:b/>
                <w:bCs/>
                <w:color w:val="FFFFFF" w:themeColor="background1"/>
                <w:sz w:val="32"/>
                <w:szCs w:val="32"/>
                <w:lang w:eastAsia="en-US"/>
              </w:rPr>
            </w:r>
          </w:p>
        </w:tc>
      </w:tr>
      <w:tr>
        <w:trPr>
          <w:trHeight w:val="2949" w:hRule="atLeast"/>
        </w:trPr>
        <w:tc>
          <w:tcPr>
            <w:tcW w:w="3402" w:type="dxa"/>
            <w:tcBorders>
              <w:top w:val="double" w:sz="4" w:space="0" w:color="76923C"/>
              <w:left w:val="double" w:sz="4" w:space="0" w:color="76923C"/>
              <w:bottom w:val="double" w:sz="4" w:space="0" w:color="76923C"/>
              <w:right w:val="double" w:sz="4" w:space="0" w:color="76923C"/>
              <w:insideH w:val="double" w:sz="4" w:space="0" w:color="76923C"/>
              <w:insideV w:val="double" w:sz="4" w:space="0" w:color="76923C"/>
            </w:tcBorders>
            <w:shd w:fill="auto" w:val="clear"/>
            <w:tcMar>
              <w:left w:w="83" w:type="dxa"/>
            </w:tcMar>
          </w:tcPr>
          <w:p>
            <w:pPr>
              <w:pStyle w:val="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Calibri" w:cs="" w:ascii="Times New Roman" w:hAnsi="Times New Roman" w:cstheme="minorBidi" w:eastAsiaTheme="minorHAnsi"/>
                <w:sz w:val="24"/>
                <w:szCs w:val="24"/>
                <w:lang w:eastAsia="en-US"/>
              </w:rPr>
              <w:t>- налог на доходы физических лиц</w:t>
            </w:r>
          </w:p>
          <w:p>
            <w:pPr>
              <w:pStyle w:val="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Calibri" w:cs="" w:ascii="Times New Roman" w:hAnsi="Times New Roman" w:cstheme="minorBidi" w:eastAsiaTheme="minorHAnsi"/>
                <w:sz w:val="24"/>
                <w:szCs w:val="24"/>
                <w:lang w:eastAsia="en-US"/>
              </w:rPr>
              <w:t>- акцизы по нефтепродуктам</w:t>
            </w:r>
          </w:p>
          <w:p>
            <w:pPr>
              <w:pStyle w:val="Normal"/>
              <w:rPr>
                <w:rFonts w:ascii="Times New Roman" w:hAnsi="Times New Roman" w:eastAsia="Times New Roman"/>
                <w:sz w:val="24"/>
                <w:szCs w:val="24"/>
              </w:rPr>
            </w:pPr>
            <w:r>
              <w:rPr>
                <w:rFonts w:eastAsia="Calibri" w:cs="" w:ascii="Times New Roman" w:hAnsi="Times New Roman" w:cstheme="minorBidi" w:eastAsiaTheme="minorHAnsi"/>
                <w:sz w:val="24"/>
                <w:szCs w:val="24"/>
                <w:lang w:eastAsia="en-US"/>
              </w:rPr>
              <w:t xml:space="preserve">- единый сельскохозяйственный налог </w:t>
            </w:r>
          </w:p>
          <w:p>
            <w:pPr>
              <w:pStyle w:val="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Calibri" w:cs="" w:ascii="Times New Roman" w:hAnsi="Times New Roman" w:cstheme="minorBidi" w:eastAsiaTheme="minorHAnsi"/>
                <w:sz w:val="24"/>
                <w:szCs w:val="24"/>
                <w:lang w:eastAsia="en-US"/>
              </w:rPr>
              <w:t>- налог на имущество физических лиц</w:t>
            </w:r>
          </w:p>
          <w:p>
            <w:pPr>
              <w:pStyle w:val="Normal"/>
              <w:spacing w:before="0" w:after="200"/>
              <w:rPr>
                <w:rFonts w:ascii="Times New Roman" w:hAnsi="Times New Roman" w:eastAsia="Times New Roman"/>
                <w:sz w:val="24"/>
                <w:szCs w:val="24"/>
              </w:rPr>
            </w:pPr>
            <w:r>
              <w:rPr>
                <w:rFonts w:eastAsia="Calibri" w:cs="" w:ascii="Times New Roman" w:hAnsi="Times New Roman" w:cstheme="minorBidi" w:eastAsiaTheme="minorHAnsi"/>
                <w:sz w:val="24"/>
                <w:szCs w:val="24"/>
                <w:lang w:eastAsia="en-US"/>
              </w:rPr>
              <w:t>- земельный налог</w:t>
            </w:r>
          </w:p>
        </w:tc>
        <w:tc>
          <w:tcPr>
            <w:tcW w:w="3260" w:type="dxa"/>
            <w:tcBorders>
              <w:top w:val="double" w:sz="4" w:space="0" w:color="76923C"/>
              <w:left w:val="double" w:sz="4" w:space="0" w:color="76923C"/>
              <w:bottom w:val="double" w:sz="4" w:space="0" w:color="76923C"/>
              <w:right w:val="double" w:sz="4" w:space="0" w:color="76923C"/>
              <w:insideH w:val="double" w:sz="4" w:space="0" w:color="76923C"/>
              <w:insideV w:val="double" w:sz="4" w:space="0" w:color="76923C"/>
            </w:tcBorders>
            <w:shd w:fill="auto" w:val="clear"/>
            <w:tcMar>
              <w:left w:w="83" w:type="dxa"/>
            </w:tcMar>
          </w:tcPr>
          <w:p>
            <w:pPr>
              <w:pStyle w:val="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Calibri" w:cs="" w:ascii="Times New Roman" w:hAnsi="Times New Roman" w:cstheme="minorBidi" w:eastAsiaTheme="minorHAnsi"/>
                <w:sz w:val="24"/>
                <w:szCs w:val="24"/>
                <w:lang w:eastAsia="en-US"/>
              </w:rPr>
              <w:t>- доходы от использования муниципального имущества</w:t>
            </w:r>
          </w:p>
          <w:p>
            <w:pPr>
              <w:pStyle w:val="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Calibri" w:cs="" w:ascii="Times New Roman" w:hAnsi="Times New Roman" w:cstheme="minorBidi" w:eastAsiaTheme="minorHAnsi"/>
                <w:sz w:val="24"/>
                <w:szCs w:val="24"/>
                <w:lang w:eastAsia="en-US"/>
              </w:rPr>
              <w:t>- доходы от продажи материальных и нематериальных активов</w:t>
            </w:r>
          </w:p>
          <w:p>
            <w:pPr>
              <w:pStyle w:val="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Calibri" w:cs="" w:ascii="Times New Roman" w:hAnsi="Times New Roman" w:cstheme="minorBidi" w:eastAsiaTheme="minorHAnsi"/>
                <w:sz w:val="24"/>
                <w:szCs w:val="24"/>
                <w:lang w:eastAsia="en-US"/>
              </w:rPr>
              <w:t>- штрафы за нарушение законодательства</w:t>
            </w:r>
          </w:p>
          <w:p>
            <w:pPr>
              <w:pStyle w:val="Normal"/>
              <w:spacing w:before="0" w:after="2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Calibri" w:cs="" w:ascii="Times New Roman" w:hAnsi="Times New Roman" w:cstheme="minorBidi" w:eastAsiaTheme="minorHAnsi"/>
                <w:sz w:val="24"/>
                <w:szCs w:val="24"/>
                <w:lang w:eastAsia="en-US"/>
              </w:rPr>
              <w:t>- прочие неналоговые доходы</w:t>
            </w:r>
          </w:p>
        </w:tc>
        <w:tc>
          <w:tcPr>
            <w:tcW w:w="3544" w:type="dxa"/>
            <w:tcBorders>
              <w:top w:val="double" w:sz="4" w:space="0" w:color="76923C"/>
              <w:left w:val="double" w:sz="4" w:space="0" w:color="76923C"/>
              <w:bottom w:val="double" w:sz="4" w:space="0" w:color="76923C"/>
              <w:right w:val="double" w:sz="4" w:space="0" w:color="76923C"/>
              <w:insideH w:val="double" w:sz="4" w:space="0" w:color="76923C"/>
              <w:insideV w:val="double" w:sz="4" w:space="0" w:color="76923C"/>
            </w:tcBorders>
            <w:shd w:fill="auto" w:val="clear"/>
            <w:tcMar>
              <w:left w:w="83" w:type="dxa"/>
            </w:tcMar>
          </w:tcPr>
          <w:p>
            <w:pPr>
              <w:pStyle w:val="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Calibri" w:cs="" w:ascii="Times New Roman" w:hAnsi="Times New Roman" w:cstheme="minorBidi" w:eastAsiaTheme="minorHAnsi"/>
                <w:sz w:val="24"/>
                <w:szCs w:val="24"/>
                <w:lang w:eastAsia="en-US"/>
              </w:rPr>
              <w:t>- дотации</w:t>
            </w:r>
          </w:p>
          <w:p>
            <w:pPr>
              <w:pStyle w:val="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Calibri" w:cs="" w:ascii="Times New Roman" w:hAnsi="Times New Roman" w:cstheme="minorBidi" w:eastAsiaTheme="minorHAnsi"/>
                <w:sz w:val="24"/>
                <w:szCs w:val="24"/>
                <w:lang w:eastAsia="en-US"/>
              </w:rPr>
              <w:t>- субсидии</w:t>
            </w:r>
          </w:p>
          <w:p>
            <w:pPr>
              <w:pStyle w:val="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Calibri" w:cs="" w:ascii="Times New Roman" w:hAnsi="Times New Roman" w:cstheme="minorBidi" w:eastAsiaTheme="minorHAnsi"/>
                <w:sz w:val="24"/>
                <w:szCs w:val="24"/>
                <w:lang w:eastAsia="en-US"/>
              </w:rPr>
              <w:t>- субвенции</w:t>
            </w:r>
          </w:p>
          <w:p>
            <w:pPr>
              <w:pStyle w:val="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Calibri" w:cs="" w:ascii="Times New Roman" w:hAnsi="Times New Roman" w:cstheme="minorBidi" w:eastAsiaTheme="minorHAnsi"/>
                <w:sz w:val="24"/>
                <w:szCs w:val="24"/>
                <w:lang w:eastAsia="en-US"/>
              </w:rPr>
              <w:t>- иные межбюджетные трансферты</w:t>
            </w:r>
          </w:p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" w:cstheme="minorBidi" w:eastAsiaTheme="minorHAnsi"/>
                <w:b/>
                <w:b/>
                <w:bCs/>
                <w:sz w:val="32"/>
                <w:szCs w:val="32"/>
                <w:lang w:eastAsia="en-US"/>
              </w:rPr>
            </w:pPr>
            <w:r>
              <w:rPr>
                <w:rFonts w:eastAsia="Calibri" w:cs="" w:cstheme="minorBidi" w:eastAsiaTheme="minorHAnsi" w:ascii="Times New Roman" w:hAnsi="Times New Roman"/>
                <w:b/>
                <w:bCs/>
                <w:sz w:val="32"/>
                <w:szCs w:val="32"/>
                <w:lang w:eastAsia="en-US"/>
              </w:rPr>
            </w:r>
          </w:p>
        </w:tc>
      </w:tr>
    </w:tbl>
    <w:p>
      <w:pPr>
        <w:pStyle w:val="Normal"/>
        <w:spacing w:lineRule="auto" w:line="240"/>
        <w:rPr>
          <w:rFonts w:ascii="Times New Roman" w:hAnsi="Times New Roman"/>
          <w:b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</w:r>
    </w:p>
    <w:p>
      <w:pPr>
        <w:pStyle w:val="Normal"/>
        <w:spacing w:lineRule="auto" w:line="240"/>
        <w:rPr>
          <w:rFonts w:ascii="Times New Roman" w:hAnsi="Times New Roman"/>
          <w:b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</w:r>
    </w:p>
    <w:p>
      <w:pPr>
        <w:pStyle w:val="Normal"/>
        <w:spacing w:lineRule="auto" w:line="240"/>
        <w:rPr>
          <w:rFonts w:ascii="Times New Roman" w:hAnsi="Times New Roman"/>
          <w:b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</w:r>
    </w:p>
    <w:tbl>
      <w:tblPr>
        <w:tblStyle w:val="-3"/>
        <w:tblpPr w:bottomFromText="0" w:horzAnchor="margin" w:leftFromText="180" w:rightFromText="180" w:tblpX="250" w:tblpY="39" w:topFromText="0" w:vertAnchor="text"/>
        <w:tblW w:w="10346" w:type="dxa"/>
        <w:jc w:val="left"/>
        <w:tblInd w:w="103" w:type="dxa"/>
        <w:tblCellMar>
          <w:top w:w="0" w:type="dxa"/>
          <w:left w:w="98" w:type="dxa"/>
          <w:bottom w:w="0" w:type="dxa"/>
          <w:right w:w="108" w:type="dxa"/>
        </w:tblCellMar>
        <w:tblLook w:val="04a0"/>
      </w:tblPr>
      <w:tblGrid>
        <w:gridCol w:w="10346"/>
      </w:tblGrid>
      <w:tr>
        <w:trPr>
          <w:cnfStyle w:val="100000000000"/>
        </w:trPr>
        <w:tc>
          <w:tcPr>
            <w:tcW w:w="10346" w:type="dxa"/>
            <w:cnfStyle w:val="001000000000"/>
            <w:tcBorders>
              <w:top w:val="single" w:sz="4" w:space="0" w:color="76923C"/>
              <w:left w:val="single" w:sz="4" w:space="0" w:color="76923C"/>
              <w:bottom w:val="single" w:sz="4" w:space="0" w:color="76923C"/>
              <w:insideH w:val="single" w:sz="4" w:space="0" w:color="76923C"/>
            </w:tcBorders>
            <w:shd w:fill="auto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 w:val="false"/>
                <w:b w:val="false"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bCs/>
                <w:color w:val="4F6228" w:themeColor="accent3" w:themeShade="80"/>
                <w:sz w:val="32"/>
                <w:szCs w:val="32"/>
              </w:rPr>
              <w:t>Межбюджетные трансферты - основной вид безвозмездных перечислений</w:t>
            </w:r>
          </w:p>
        </w:tc>
      </w:tr>
    </w:tbl>
    <w:p>
      <w:pPr>
        <w:pStyle w:val="Normal"/>
        <w:spacing w:lineRule="auto" w:line="240"/>
        <w:rPr>
          <w:rFonts w:ascii="Times New Roman" w:hAnsi="Times New Roman"/>
          <w:b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</w:r>
    </w:p>
    <w:p>
      <w:pPr>
        <w:pStyle w:val="Normal"/>
        <w:spacing w:lineRule="auto" w:line="240"/>
        <w:rPr>
          <w:rFonts w:ascii="Times New Roman" w:hAnsi="Times New Roman"/>
          <w:b/>
          <w:b/>
          <w:color w:val="5F497A" w:themeColor="accent4" w:themeShade="bf"/>
          <w:sz w:val="32"/>
          <w:szCs w:val="32"/>
        </w:rPr>
      </w:pPr>
      <w:r>
        <w:rPr>
          <w:rFonts w:ascii="Times New Roman" w:hAnsi="Times New Roman"/>
          <w:b/>
          <w:color w:val="5F497A" w:themeColor="accent4" w:themeShade="bf"/>
          <w:sz w:val="32"/>
          <w:szCs w:val="32"/>
        </w:rPr>
      </w:r>
    </w:p>
    <w:p>
      <w:pPr>
        <w:pStyle w:val="Normal"/>
        <w:spacing w:lineRule="auto" w:line="240"/>
        <w:jc w:val="both"/>
        <w:rPr>
          <w:rFonts w:ascii="Times New Roman" w:hAnsi="Times New Roman"/>
          <w:b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mc:AlternateContent>
          <mc:Choice Requires="wps">
            <w:drawing>
              <wp:anchor behindDoc="0" distT="0" distB="0" distL="114300" distR="114300" simplePos="0" locked="0" layoutInCell="1" allowOverlap="1" relativeHeight="8">
                <wp:simplePos x="0" y="0"/>
                <wp:positionH relativeFrom="margin">
                  <wp:posOffset>86995</wp:posOffset>
                </wp:positionH>
                <wp:positionV relativeFrom="page">
                  <wp:posOffset>1648460</wp:posOffset>
                </wp:positionV>
                <wp:extent cx="6301740" cy="3669030"/>
                <wp:effectExtent l="0" t="0" r="0" b="0"/>
                <wp:wrapSquare wrapText="bothSides"/>
                <wp:docPr id="10" name="Врезка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1080" cy="3668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tbl>
                            <w:tblPr>
                              <w:tblStyle w:val="1-4"/>
                              <w:tblW w:w="9923" w:type="dxa"/>
                              <w:jc w:val="left"/>
                              <w:tblInd w:w="98" w:type="dxa"/>
                              <w:tblCellMar>
                                <w:top w:w="0" w:type="dxa"/>
                                <w:left w:w="98" w:type="dxa"/>
                                <w:bottom w:w="0" w:type="dxa"/>
                                <w:right w:w="108" w:type="dxa"/>
                              </w:tblCellMar>
                              <w:tblLook w:val="04a0"/>
                            </w:tblPr>
                            <w:tblGrid>
                              <w:gridCol w:w="2943"/>
                              <w:gridCol w:w="3402"/>
                              <w:gridCol w:w="3578"/>
                            </w:tblGrid>
                            <w:tr>
                              <w:trPr>
                                <w:cnfStyle w:val="100000000000"/>
                              </w:trPr>
                              <w:tc>
                                <w:tcPr>
                                  <w:tcW w:w="2943" w:type="dxa"/>
                                  <w:cnfStyle w:val="001000000000"/>
                                  <w:tcBorders>
                                    <w:top w:val="single" w:sz="4" w:space="0" w:color="76923C"/>
                                    <w:left w:val="single" w:sz="4" w:space="0" w:color="76923C"/>
                                    <w:bottom w:val="single" w:sz="4" w:space="0" w:color="76923C"/>
                                    <w:right w:val="nil"/>
                                    <w:insideH w:val="single" w:sz="4" w:space="0" w:color="76923C"/>
                                    <w:insideV w:val="nil"/>
                                  </w:tcBorders>
                                  <w:shd w:color="auto" w:fill="76923C" w:themeFill="accent3" w:themeFillShade="bf" w:val="clear"/>
                                  <w:tcMar>
                                    <w:left w:w="98" w:type="dxa"/>
                                  </w:tcMar>
                                </w:tcPr>
                                <w:p>
                                  <w:pPr>
                                    <w:pStyle w:val="ListParagraph"/>
                                    <w:spacing w:lineRule="auto" w:line="240" w:before="0" w:after="0"/>
                                    <w:ind w:left="0" w:hanging="0"/>
                                    <w:contextualSpacing/>
                                    <w:jc w:val="center"/>
                                    <w:rPr>
                                      <w:rFonts w:ascii="Calibri" w:hAnsi="Calibri" w:eastAsia="" w:cs="" w:asciiTheme="minorHAnsi" w:cstheme="minorBidi" w:eastAsiaTheme="minorEastAsia" w:hAnsiTheme="minorHAnsi"/>
                                      <w:color w:val="FFFFFF" w:themeColor="background1"/>
                                      <w:lang w:val="en-US" w:eastAsia="en-US" w:bidi="en-US"/>
                                    </w:rPr>
                                  </w:pPr>
                                  <w:r>
                                    <w:rPr>
                                      <w:rFonts w:eastAsia="" w:cs="" w:cstheme="minorBidi" w:eastAsiaTheme="minorEastAsia"/>
                                      <w:b w:val="false"/>
                                      <w:bCs w:val="false"/>
                                      <w:color w:val="FFFFFF" w:themeColor="background1"/>
                                      <w:sz w:val="28"/>
                                      <w:szCs w:val="28"/>
                                      <w:lang w:val="en-US" w:eastAsia="en-US" w:bidi="en-US"/>
                                    </w:rPr>
                                    <w:t>Виды межбюджетных</w:t>
                                  </w:r>
                                </w:p>
                                <w:p>
                                  <w:pPr>
                                    <w:pStyle w:val="ListParagraph"/>
                                    <w:spacing w:lineRule="auto" w:line="240" w:before="0" w:after="0"/>
                                    <w:ind w:left="0" w:hanging="0"/>
                                    <w:contextualSpacing/>
                                    <w:jc w:val="center"/>
                                    <w:rPr>
                                      <w:rFonts w:ascii="Calibri" w:hAnsi="Calibri" w:eastAsia="" w:cs="" w:asciiTheme="minorHAnsi" w:cstheme="minorBidi" w:eastAsiaTheme="minorEastAsia" w:hAnsiTheme="minorHAnsi"/>
                                      <w:color w:val="FFFFFF" w:themeColor="background1"/>
                                      <w:lang w:val="en-US" w:eastAsia="en-US" w:bidi="en-US"/>
                                    </w:rPr>
                                  </w:pPr>
                                  <w:r>
                                    <w:rPr>
                                      <w:rFonts w:eastAsia="" w:cs="" w:cstheme="minorBidi" w:eastAsiaTheme="minorEastAsia"/>
                                      <w:b w:val="false"/>
                                      <w:bCs w:val="false"/>
                                      <w:color w:val="FFFFFF" w:themeColor="background1"/>
                                      <w:sz w:val="28"/>
                                      <w:szCs w:val="28"/>
                                      <w:lang w:val="en-US" w:eastAsia="en-US" w:bidi="en-US"/>
                                    </w:rPr>
                                    <w:t>трансфертов</w:t>
                                  </w:r>
                                </w:p>
                              </w:tc>
                              <w:tc>
                                <w:tcPr>
                                  <w:tcW w:w="3402" w:type="dxa"/>
                                  <w:tcBorders>
                                    <w:top w:val="single" w:sz="4" w:space="0" w:color="76923C"/>
                                    <w:left w:val="nil"/>
                                    <w:bottom w:val="single" w:sz="4" w:space="0" w:color="76923C"/>
                                    <w:right w:val="nil"/>
                                    <w:insideH w:val="single" w:sz="4" w:space="0" w:color="76923C"/>
                                    <w:insideV w:val="nil"/>
                                  </w:tcBorders>
                                  <w:shd w:color="auto" w:fill="76923C" w:themeFill="accent3" w:themeFillShade="bf" w:val="clear"/>
                                  <w:tcMar>
                                    <w:left w:w="113" w:type="dxa"/>
                                  </w:tcMar>
                                </w:tcPr>
                                <w:p>
                                  <w:pPr>
                                    <w:pStyle w:val="ListParagraph"/>
                                    <w:spacing w:lineRule="auto" w:line="240" w:before="0" w:after="0"/>
                                    <w:ind w:left="0" w:hanging="0"/>
                                    <w:contextualSpacing/>
                                    <w:jc w:val="center"/>
                                    <w:cnfStyle w:val="100000000000"/>
                                    <w:rPr>
                                      <w:rFonts w:eastAsia="" w:cs="" w:cstheme="minorBidi" w:eastAsiaTheme="minorEastAsia"/>
                                      <w:color w:val="FFFFFF" w:themeColor="background1"/>
                                      <w:lang w:val="en-US" w:eastAsia="en-US" w:bidi="en-US"/>
                                    </w:rPr>
                                  </w:pPr>
                                  <w:r>
                                    <w:rPr>
                                      <w:rFonts w:eastAsia="Times New Roman" w:cs="" w:ascii="Times New Roman" w:hAnsi="Times New Roman" w:cstheme="minorBidi"/>
                                      <w:b w:val="false"/>
                                      <w:bCs w:val="false"/>
                                      <w:color w:val="FFFFFF" w:themeColor="background1"/>
                                      <w:sz w:val="28"/>
                                      <w:szCs w:val="28"/>
                                      <w:lang w:val="en-US" w:eastAsia="en-US" w:bidi="en-US"/>
                                    </w:rPr>
                                    <w:t>Определение</w:t>
                                  </w:r>
                                </w:p>
                              </w:tc>
                              <w:tc>
                                <w:tcPr>
                                  <w:tcW w:w="3578" w:type="dxa"/>
                                  <w:tcBorders>
                                    <w:top w:val="single" w:sz="4" w:space="0" w:color="76923C"/>
                                    <w:left w:val="single" w:sz="4" w:space="0" w:color="76923C"/>
                                    <w:bottom w:val="single" w:sz="4" w:space="0" w:color="76923C"/>
                                    <w:right w:val="single" w:sz="4" w:space="0" w:color="76923C"/>
                                    <w:insideH w:val="single" w:sz="4" w:space="0" w:color="76923C"/>
                                    <w:insideV w:val="single" w:sz="4" w:space="0" w:color="76923C"/>
                                  </w:tcBorders>
                                  <w:shd w:color="auto" w:fill="76923C" w:themeFill="accent3" w:themeFillShade="bf" w:val="clear"/>
                                  <w:tcMar>
                                    <w:left w:w="108" w:type="dxa"/>
                                  </w:tcMar>
                                </w:tcPr>
                                <w:p>
                                  <w:pPr>
                                    <w:pStyle w:val="ListParagraph"/>
                                    <w:spacing w:lineRule="auto" w:line="240" w:before="0" w:after="0"/>
                                    <w:ind w:left="0" w:hanging="0"/>
                                    <w:contextualSpacing/>
                                    <w:jc w:val="center"/>
                                    <w:cnfStyle w:val="100000000000"/>
                                    <w:rPr>
                                      <w:rFonts w:eastAsia="" w:cs="" w:cstheme="minorBidi" w:eastAsiaTheme="minorEastAsia"/>
                                      <w:color w:val="FFFFFF" w:themeColor="background1"/>
                                      <w:lang w:val="en-US" w:eastAsia="en-US" w:bidi="en-US"/>
                                    </w:rPr>
                                  </w:pPr>
                                  <w:r>
                                    <w:rPr>
                                      <w:rFonts w:eastAsia="Times New Roman" w:cs="" w:ascii="Times New Roman" w:hAnsi="Times New Roman" w:cstheme="minorBidi"/>
                                      <w:b w:val="false"/>
                                      <w:bCs w:val="false"/>
                                      <w:color w:val="FFFFFF" w:themeColor="background1"/>
                                      <w:sz w:val="28"/>
                                      <w:szCs w:val="28"/>
                                      <w:lang w:val="en-US" w:eastAsia="en-US" w:bidi="en-US"/>
                                    </w:rPr>
                                    <w:t>Аналогия в семейном</w:t>
                                  </w:r>
                                </w:p>
                                <w:p>
                                  <w:pPr>
                                    <w:pStyle w:val="ListParagraph"/>
                                    <w:spacing w:lineRule="auto" w:line="240" w:before="0" w:after="0"/>
                                    <w:ind w:left="0" w:hanging="0"/>
                                    <w:contextualSpacing/>
                                    <w:jc w:val="center"/>
                                    <w:cnfStyle w:val="100000000000"/>
                                    <w:rPr>
                                      <w:rFonts w:eastAsia="" w:cs="" w:cstheme="minorBidi" w:eastAsiaTheme="minorEastAsia"/>
                                      <w:color w:val="FFFFFF" w:themeColor="background1"/>
                                      <w:lang w:val="en-US" w:eastAsia="en-US" w:bidi="en-US"/>
                                    </w:rPr>
                                  </w:pPr>
                                  <w:r>
                                    <w:rPr>
                                      <w:rFonts w:eastAsia="Times New Roman" w:cs="" w:ascii="Times New Roman" w:hAnsi="Times New Roman" w:cstheme="minorBidi"/>
                                      <w:b w:val="false"/>
                                      <w:bCs w:val="false"/>
                                      <w:color w:val="FFFFFF" w:themeColor="background1"/>
                                      <w:sz w:val="28"/>
                                      <w:szCs w:val="28"/>
                                      <w:lang w:val="en-US" w:eastAsia="en-US" w:bidi="en-US"/>
                                    </w:rPr>
                                    <w:t>бюджете</w:t>
                                  </w:r>
                                </w:p>
                              </w:tc>
                            </w:tr>
                            <w:tr>
                              <w:trPr>
                                <w:cnfStyle w:val="000000100000"/>
                              </w:trPr>
                              <w:tc>
                                <w:tcPr>
                                  <w:tcW w:w="2943" w:type="dxa"/>
                                  <w:cnfStyle w:val="001000000000"/>
                                  <w:tcBorders>
                                    <w:top w:val="nil"/>
                                    <w:left w:val="single" w:sz="4" w:space="0" w:color="76923C"/>
                                    <w:bottom w:val="nil"/>
                                    <w:right w:val="nil"/>
                                    <w:insideH w:val="nil"/>
                                    <w:insideV w:val="nil"/>
                                  </w:tcBorders>
                                  <w:shd w:color="auto" w:fill="C2D69B" w:themeFill="accent3" w:themeFillTint="99" w:val="clear"/>
                                  <w:tcMar>
                                    <w:left w:w="98" w:type="dxa"/>
                                  </w:tcMar>
                                </w:tcPr>
                                <w:p>
                                  <w:pPr>
                                    <w:pStyle w:val="ListParagraph"/>
                                    <w:spacing w:before="0" w:after="200"/>
                                    <w:ind w:left="0" w:hanging="0"/>
                                    <w:contextualSpacing/>
                                    <w:rPr>
                                      <w:rFonts w:ascii="Calibri" w:hAnsi="Calibri" w:eastAsia="" w:cs="" w:asciiTheme="minorHAnsi" w:cstheme="minorBidi" w:eastAsiaTheme="minorEastAsia" w:hAnsiTheme="minorHAnsi"/>
                                      <w:lang w:val="en-US" w:eastAsia="en-US" w:bidi="en-US"/>
                                    </w:rPr>
                                  </w:pPr>
                                  <w:r>
                                    <w:rPr>
                                      <w:rFonts w:eastAsia="" w:cs="" w:cstheme="minorBidi" w:eastAsiaTheme="minorEastAsia"/>
                                      <w:b w:val="false"/>
                                      <w:bCs w:val="false"/>
                                      <w:sz w:val="24"/>
                                      <w:szCs w:val="24"/>
                                      <w:lang w:val="en-US" w:eastAsia="en-US" w:bidi="en-US"/>
                                    </w:rPr>
                                    <w:t>Дотации (от лат.«Dotatio» –дар, пожертвование)</w:t>
                                  </w:r>
                                </w:p>
                              </w:tc>
                              <w:tc>
                                <w:tcPr>
                                  <w:tcW w:w="34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  <w:insideH w:val="nil"/>
                                    <w:insideV w:val="nil"/>
                                  </w:tcBorders>
                                  <w:shd w:color="auto" w:fill="C2D69B" w:themeFill="accent3" w:themeFillTint="99" w:val="clear"/>
                                  <w:tcMar>
                                    <w:left w:w="113" w:type="dxa"/>
                                  </w:tcMar>
                                </w:tcPr>
                                <w:p>
                                  <w:pPr>
                                    <w:pStyle w:val="ListParagraph"/>
                                    <w:spacing w:before="0" w:after="200"/>
                                    <w:ind w:left="0" w:hanging="0"/>
                                    <w:contextualSpacing/>
                                    <w:cnfStyle w:val="000000100000"/>
                                    <w:rPr>
                                      <w:rFonts w:eastAsia="" w:cs="" w:cstheme="minorBidi" w:eastAsiaTheme="minorEastAsia"/>
                                      <w:lang w:eastAsia="en-US" w:bidi="en-US"/>
                                    </w:rPr>
                                  </w:pPr>
                                  <w:r>
                                    <w:rPr>
                                      <w:rFonts w:eastAsia="" w:cs="" w:ascii="Times New Roman" w:hAnsi="Times New Roman" w:cstheme="minorBidi" w:eastAsiaTheme="minorEastAsia"/>
                                      <w:bCs/>
                                      <w:sz w:val="24"/>
                                      <w:szCs w:val="24"/>
                                      <w:lang w:val="ru-RU" w:eastAsia="en-US" w:bidi="en-US"/>
                                    </w:rPr>
                                    <w:t>Предоставляются без определения конкретной цели их использования</w:t>
                                  </w:r>
                                </w:p>
                              </w:tc>
                              <w:tc>
                                <w:tcPr>
                                  <w:tcW w:w="357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76923C"/>
                                    <w:insideH w:val="nil"/>
                                    <w:insideV w:val="single" w:sz="4" w:space="0" w:color="76923C"/>
                                  </w:tcBorders>
                                  <w:shd w:color="auto" w:fill="C2D69B" w:themeFill="accent3" w:themeFillTint="99" w:val="clear"/>
                                  <w:tcMar>
                                    <w:left w:w="113" w:type="dxa"/>
                                  </w:tcMar>
                                </w:tcPr>
                                <w:p>
                                  <w:pPr>
                                    <w:pStyle w:val="ListParagraph"/>
                                    <w:spacing w:before="0" w:after="200"/>
                                    <w:ind w:left="0" w:hanging="0"/>
                                    <w:contextualSpacing/>
                                    <w:cnfStyle w:val="000000100000"/>
                                    <w:rPr>
                                      <w:rFonts w:eastAsia="" w:cs="" w:cstheme="minorBidi" w:eastAsiaTheme="minorEastAsia"/>
                                      <w:lang w:eastAsia="en-US" w:bidi="en-US"/>
                                    </w:rPr>
                                  </w:pPr>
                                  <w:r>
                                    <w:rPr>
                                      <w:rFonts w:eastAsia="" w:cs="" w:ascii="Times New Roman" w:hAnsi="Times New Roman" w:cstheme="minorBidi" w:eastAsiaTheme="minorEastAsia"/>
                                      <w:bCs/>
                                      <w:sz w:val="24"/>
                                      <w:szCs w:val="24"/>
                                      <w:lang w:val="ru-RU" w:eastAsia="en-US" w:bidi="en-US"/>
                                    </w:rPr>
                                    <w:t>Вы даете своему ребенку «карманные деньги»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259" w:hRule="atLeast"/>
                                <w:cnfStyle w:val="000000010000"/>
                              </w:trPr>
                              <w:tc>
                                <w:tcPr>
                                  <w:tcW w:w="2943" w:type="dxa"/>
                                  <w:cnfStyle w:val="001000000000"/>
                                  <w:tcBorders>
                                    <w:top w:val="nil"/>
                                    <w:left w:val="single" w:sz="4" w:space="0" w:color="76923C"/>
                                    <w:bottom w:val="nil"/>
                                    <w:right w:val="nil"/>
                                    <w:insideH w:val="nil"/>
                                    <w:insideV w:val="nil"/>
                                  </w:tcBorders>
                                  <w:shd w:fill="auto" w:val="clear"/>
                                  <w:tcMar>
                                    <w:left w:w="98" w:type="dxa"/>
                                  </w:tcMar>
                                </w:tcPr>
                                <w:p>
                                  <w:pPr>
                                    <w:pStyle w:val="ListParagraph"/>
                                    <w:spacing w:before="0" w:after="200"/>
                                    <w:ind w:left="0" w:hanging="0"/>
                                    <w:contextualSpacing/>
                                    <w:rPr>
                                      <w:rFonts w:ascii="Calibri" w:hAnsi="Calibri" w:eastAsia="" w:cs="" w:asciiTheme="minorHAnsi" w:cstheme="minorBidi" w:eastAsiaTheme="minorEastAsia" w:hAnsiTheme="minorHAnsi"/>
                                      <w:lang w:val="en-US" w:eastAsia="en-US" w:bidi="en-US"/>
                                    </w:rPr>
                                  </w:pPr>
                                  <w:r>
                                    <w:rPr>
                                      <w:rFonts w:eastAsia="" w:cs="" w:cstheme="minorBidi" w:eastAsiaTheme="minorEastAsia"/>
                                      <w:b w:val="false"/>
                                      <w:bCs w:val="false"/>
                                      <w:sz w:val="24"/>
                                      <w:szCs w:val="24"/>
                                      <w:lang w:val="en-US" w:eastAsia="en-US" w:bidi="en-US"/>
                                    </w:rPr>
                                    <w:t>Субвенции (от лат.Subveire»– приходить на помощь)</w:t>
                                  </w:r>
                                </w:p>
                              </w:tc>
                              <w:tc>
                                <w:tcPr>
                                  <w:tcW w:w="34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  <w:insideH w:val="nil"/>
                                    <w:insideV w:val="nil"/>
                                  </w:tcBorders>
                                  <w:shd w:fill="auto" w:val="clear"/>
                                  <w:tcMar>
                                    <w:left w:w="113" w:type="dxa"/>
                                  </w:tcMar>
                                </w:tcPr>
                                <w:p>
                                  <w:pPr>
                                    <w:pStyle w:val="ListParagraph"/>
                                    <w:spacing w:before="0" w:after="200"/>
                                    <w:ind w:left="0" w:hanging="0"/>
                                    <w:contextualSpacing/>
                                    <w:cnfStyle w:val="000000010000"/>
                                    <w:rPr>
                                      <w:rFonts w:eastAsia="" w:cs="" w:cstheme="minorBidi" w:eastAsiaTheme="minorEastAsia"/>
                                      <w:lang w:eastAsia="en-US" w:bidi="en-US"/>
                                    </w:rPr>
                                  </w:pPr>
                                  <w:r>
                                    <w:rPr>
                                      <w:rFonts w:eastAsia="" w:cs="" w:ascii="Times New Roman" w:hAnsi="Times New Roman" w:cstheme="minorBidi" w:eastAsiaTheme="minorEastAsia"/>
                                      <w:bCs/>
                                      <w:sz w:val="24"/>
                                      <w:szCs w:val="24"/>
                                      <w:lang w:val="ru-RU" w:eastAsia="en-US" w:bidi="en-US"/>
                                    </w:rPr>
                                    <w:t>Предоставляются на финансирование«переданных» другим публично-правовым образованиям полномочий</w:t>
                                  </w:r>
                                </w:p>
                              </w:tc>
                              <w:tc>
                                <w:tcPr>
                                  <w:tcW w:w="357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76923C"/>
                                    <w:insideH w:val="nil"/>
                                    <w:insideV w:val="single" w:sz="4" w:space="0" w:color="76923C"/>
                                  </w:tcBorders>
                                  <w:shd w:fill="auto" w:val="clear"/>
                                  <w:tcMar>
                                    <w:left w:w="113" w:type="dxa"/>
                                  </w:tcMar>
                                </w:tcPr>
                                <w:p>
                                  <w:pPr>
                                    <w:pStyle w:val="ListParagraph"/>
                                    <w:spacing w:before="0" w:after="200"/>
                                    <w:ind w:left="0" w:hanging="0"/>
                                    <w:contextualSpacing/>
                                    <w:cnfStyle w:val="000000010000"/>
                                    <w:rPr>
                                      <w:rFonts w:eastAsia="" w:cs="" w:cstheme="minorBidi" w:eastAsiaTheme="minorEastAsia"/>
                                      <w:lang w:eastAsia="en-US" w:bidi="en-US"/>
                                    </w:rPr>
                                  </w:pPr>
                                  <w:r>
                                    <w:rPr>
                                      <w:rFonts w:eastAsia="" w:cs="" w:ascii="Times New Roman" w:hAnsi="Times New Roman" w:cstheme="minorBidi" w:eastAsiaTheme="minorEastAsia"/>
                                      <w:bCs/>
                                      <w:sz w:val="24"/>
                                      <w:szCs w:val="24"/>
                                      <w:lang w:val="ru-RU" w:eastAsia="en-US" w:bidi="en-US"/>
                                    </w:rPr>
                                    <w:t>Вы даете своему ребенку деньги и посылаете его в магазин купить продукты(по списку)</w:t>
                                  </w:r>
                                </w:p>
                              </w:tc>
                            </w:tr>
                            <w:tr>
                              <w:trPr>
                                <w:cnfStyle w:val="000000100000"/>
                              </w:trPr>
                              <w:tc>
                                <w:tcPr>
                                  <w:tcW w:w="2943" w:type="dxa"/>
                                  <w:cnfStyle w:val="001000000000"/>
                                  <w:tcBorders>
                                    <w:top w:val="nil"/>
                                    <w:left w:val="single" w:sz="4" w:space="0" w:color="76923C"/>
                                    <w:bottom w:val="single" w:sz="4" w:space="0" w:color="76923C"/>
                                    <w:right w:val="nil"/>
                                    <w:insideH w:val="single" w:sz="4" w:space="0" w:color="76923C"/>
                                    <w:insideV w:val="nil"/>
                                  </w:tcBorders>
                                  <w:shd w:color="auto" w:fill="C2D69B" w:themeFill="accent3" w:themeFillTint="99" w:val="clear"/>
                                  <w:tcMar>
                                    <w:left w:w="98" w:type="dxa"/>
                                  </w:tcMar>
                                </w:tcPr>
                                <w:p>
                                  <w:pPr>
                                    <w:pStyle w:val="ListParagraph"/>
                                    <w:spacing w:before="0" w:after="200"/>
                                    <w:ind w:left="0" w:hanging="0"/>
                                    <w:contextualSpacing/>
                                    <w:rPr>
                                      <w:rFonts w:ascii="Calibri" w:hAnsi="Calibri" w:eastAsia="" w:cs="" w:asciiTheme="minorHAnsi" w:cstheme="minorBidi" w:eastAsiaTheme="minorEastAsia" w:hAnsiTheme="minorHAnsi"/>
                                      <w:lang w:val="en-US" w:eastAsia="en-US" w:bidi="en-US"/>
                                    </w:rPr>
                                  </w:pPr>
                                  <w:r>
                                    <w:rPr>
                                      <w:rFonts w:eastAsia="" w:cs="" w:cstheme="minorBidi" w:eastAsiaTheme="minorEastAsia"/>
                                      <w:b w:val="false"/>
                                      <w:bCs w:val="false"/>
                                      <w:sz w:val="24"/>
                                      <w:szCs w:val="24"/>
                                      <w:lang w:val="en-US" w:eastAsia="en-US" w:bidi="en-US"/>
                                    </w:rPr>
                                    <w:t>Субсидии (от лат.«Subsidium» - поддержка)</w:t>
                                  </w:r>
                                </w:p>
                              </w:tc>
                              <w:tc>
                                <w:tcPr>
                                  <w:tcW w:w="3402" w:type="dxa"/>
                                  <w:tcBorders>
                                    <w:top w:val="nil"/>
                                    <w:left w:val="nil"/>
                                    <w:bottom w:val="single" w:sz="4" w:space="0" w:color="76923C"/>
                                    <w:right w:val="nil"/>
                                    <w:insideH w:val="single" w:sz="4" w:space="0" w:color="76923C"/>
                                    <w:insideV w:val="nil"/>
                                  </w:tcBorders>
                                  <w:shd w:color="auto" w:fill="C2D69B" w:themeFill="accent3" w:themeFillTint="99" w:val="clear"/>
                                  <w:tcMar>
                                    <w:left w:w="113" w:type="dxa"/>
                                  </w:tcMar>
                                </w:tcPr>
                                <w:p>
                                  <w:pPr>
                                    <w:pStyle w:val="ListParagraph"/>
                                    <w:spacing w:before="0" w:after="200"/>
                                    <w:ind w:left="0" w:hanging="0"/>
                                    <w:contextualSpacing/>
                                    <w:cnfStyle w:val="000000100000"/>
                                    <w:rPr>
                                      <w:rFonts w:eastAsia="" w:cs="" w:cstheme="minorBidi" w:eastAsiaTheme="minorEastAsia"/>
                                      <w:lang w:eastAsia="en-US" w:bidi="en-US"/>
                                    </w:rPr>
                                  </w:pPr>
                                  <w:r>
                                    <w:rPr>
                                      <w:rFonts w:eastAsia="" w:cs="" w:ascii="Times New Roman" w:hAnsi="Times New Roman" w:cstheme="minorBidi" w:eastAsiaTheme="minorEastAsia"/>
                                      <w:bCs/>
                                      <w:sz w:val="24"/>
                                      <w:szCs w:val="24"/>
                                      <w:lang w:val="ru-RU" w:eastAsia="en-US" w:bidi="en-US"/>
                                    </w:rPr>
                                    <w:t>Предоставляются на условиях долевого софинансирования расходов других бюджетов</w:t>
                                  </w:r>
                                </w:p>
                              </w:tc>
                              <w:tc>
                                <w:tcPr>
                                  <w:tcW w:w="3578" w:type="dxa"/>
                                  <w:tcBorders>
                                    <w:top w:val="nil"/>
                                    <w:left w:val="nil"/>
                                    <w:bottom w:val="single" w:sz="4" w:space="0" w:color="76923C"/>
                                    <w:right w:val="single" w:sz="4" w:space="0" w:color="76923C"/>
                                    <w:insideH w:val="single" w:sz="4" w:space="0" w:color="76923C"/>
                                    <w:insideV w:val="single" w:sz="4" w:space="0" w:color="76923C"/>
                                  </w:tcBorders>
                                  <w:shd w:color="auto" w:fill="C2D69B" w:themeFill="accent3" w:themeFillTint="99" w:val="clear"/>
                                  <w:tcMar>
                                    <w:left w:w="113" w:type="dxa"/>
                                  </w:tcMar>
                                </w:tcPr>
                                <w:p>
                                  <w:pPr>
                                    <w:pStyle w:val="ListParagraph"/>
                                    <w:spacing w:before="0" w:after="200"/>
                                    <w:ind w:left="0" w:hanging="0"/>
                                    <w:contextualSpacing/>
                                    <w:cnfStyle w:val="000000100000"/>
                                    <w:rPr>
                                      <w:rFonts w:eastAsia="" w:cs="" w:cstheme="minorBidi" w:eastAsiaTheme="minorEastAsia"/>
                                      <w:lang w:eastAsia="en-US" w:bidi="en-US"/>
                                    </w:rPr>
                                  </w:pPr>
                                  <w:r>
                                    <w:rPr>
                                      <w:rFonts w:eastAsia="" w:cs="" w:ascii="Times New Roman" w:hAnsi="Times New Roman" w:cstheme="minorBidi" w:eastAsiaTheme="minorEastAsia"/>
                                      <w:bCs/>
                                      <w:sz w:val="24"/>
                                      <w:szCs w:val="24"/>
                                      <w:lang w:val="ru-RU" w:eastAsia="en-US" w:bidi="en-US"/>
                                    </w:rPr>
                                    <w:t>Вы «добавляете» денег для того, чтобы ваш ребенок купил себе новый телефон(а остальные он накопит сам)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Style20"/>
                              <w:spacing w:before="0" w:after="20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Врезка1" stroked="f" style="position:absolute;margin-left:6.85pt;margin-top:129.8pt;width:496.1pt;height:288.8pt;mso-position-horizontal-relative:margin;mso-position-vertical-relative:page">
                <w10:wrap type="none"/>
                <v:fill o:detectmouseclick="t" on="false"/>
                <v:stroke color="#3465a4" joinstyle="round" endcap="flat"/>
                <v:textbox>
                  <w:txbxContent>
                    <w:tbl>
                      <w:tblPr>
                        <w:tblStyle w:val="1-4"/>
                        <w:tblW w:w="9923" w:type="dxa"/>
                        <w:jc w:val="left"/>
                        <w:tblInd w:w="98" w:type="dxa"/>
                        <w:tblCellMar>
                          <w:top w:w="0" w:type="dxa"/>
                          <w:left w:w="98" w:type="dxa"/>
                          <w:bottom w:w="0" w:type="dxa"/>
                          <w:right w:w="108" w:type="dxa"/>
                        </w:tblCellMar>
                        <w:tblLook w:val="04a0"/>
                      </w:tblPr>
                      <w:tblGrid>
                        <w:gridCol w:w="2943"/>
                        <w:gridCol w:w="3402"/>
                        <w:gridCol w:w="3578"/>
                      </w:tblGrid>
                      <w:tr>
                        <w:trPr>
                          <w:cnfStyle w:val="100000000000"/>
                        </w:trPr>
                        <w:tc>
                          <w:tcPr>
                            <w:tcW w:w="2943" w:type="dxa"/>
                            <w:cnfStyle w:val="001000000000"/>
                            <w:tcBorders>
                              <w:top w:val="single" w:sz="4" w:space="0" w:color="76923C"/>
                              <w:left w:val="single" w:sz="4" w:space="0" w:color="76923C"/>
                              <w:bottom w:val="single" w:sz="4" w:space="0" w:color="76923C"/>
                              <w:right w:val="nil"/>
                              <w:insideH w:val="single" w:sz="4" w:space="0" w:color="76923C"/>
                              <w:insideV w:val="nil"/>
                            </w:tcBorders>
                            <w:shd w:color="auto" w:fill="76923C" w:themeFill="accent3" w:themeFillShade="bf" w:val="clear"/>
                            <w:tcMar>
                              <w:left w:w="98" w:type="dxa"/>
                            </w:tcMar>
                          </w:tcPr>
                          <w:p>
                            <w:pPr>
                              <w:pStyle w:val="ListParagraph"/>
                              <w:spacing w:lineRule="auto" w:line="240" w:before="0" w:after="0"/>
                              <w:ind w:left="0" w:hanging="0"/>
                              <w:contextualSpacing/>
                              <w:jc w:val="center"/>
                              <w:rPr>
                                <w:rFonts w:ascii="Calibri" w:hAnsi="Calibri" w:eastAsia="" w:cs="" w:asciiTheme="minorHAnsi" w:cstheme="minorBidi" w:eastAsiaTheme="minorEastAsia" w:hAnsiTheme="minorHAnsi"/>
                                <w:color w:val="FFFFFF" w:themeColor="background1"/>
                                <w:lang w:val="en-US" w:eastAsia="en-US" w:bidi="en-US"/>
                              </w:rPr>
                            </w:pPr>
                            <w:r>
                              <w:rPr>
                                <w:rFonts w:eastAsia="" w:cs="" w:cstheme="minorBidi" w:eastAsiaTheme="minorEastAsia"/>
                                <w:b w:val="false"/>
                                <w:bCs w:val="false"/>
                                <w:color w:val="FFFFFF" w:themeColor="background1"/>
                                <w:sz w:val="28"/>
                                <w:szCs w:val="28"/>
                                <w:lang w:val="en-US" w:eastAsia="en-US" w:bidi="en-US"/>
                              </w:rPr>
                              <w:t>Виды межбюджетных</w:t>
                            </w:r>
                          </w:p>
                          <w:p>
                            <w:pPr>
                              <w:pStyle w:val="ListParagraph"/>
                              <w:spacing w:lineRule="auto" w:line="240" w:before="0" w:after="0"/>
                              <w:ind w:left="0" w:hanging="0"/>
                              <w:contextualSpacing/>
                              <w:jc w:val="center"/>
                              <w:rPr>
                                <w:rFonts w:ascii="Calibri" w:hAnsi="Calibri" w:eastAsia="" w:cs="" w:asciiTheme="minorHAnsi" w:cstheme="minorBidi" w:eastAsiaTheme="minorEastAsia" w:hAnsiTheme="minorHAnsi"/>
                                <w:color w:val="FFFFFF" w:themeColor="background1"/>
                                <w:lang w:val="en-US" w:eastAsia="en-US" w:bidi="en-US"/>
                              </w:rPr>
                            </w:pPr>
                            <w:r>
                              <w:rPr>
                                <w:rFonts w:eastAsia="" w:cs="" w:cstheme="minorBidi" w:eastAsiaTheme="minorEastAsia"/>
                                <w:b w:val="false"/>
                                <w:bCs w:val="false"/>
                                <w:color w:val="FFFFFF" w:themeColor="background1"/>
                                <w:sz w:val="28"/>
                                <w:szCs w:val="28"/>
                                <w:lang w:val="en-US" w:eastAsia="en-US" w:bidi="en-US"/>
                              </w:rPr>
                              <w:t>трансфертов</w:t>
                            </w:r>
                          </w:p>
                        </w:tc>
                        <w:tc>
                          <w:tcPr>
                            <w:tcW w:w="3402" w:type="dxa"/>
                            <w:tcBorders>
                              <w:top w:val="single" w:sz="4" w:space="0" w:color="76923C"/>
                              <w:left w:val="nil"/>
                              <w:bottom w:val="single" w:sz="4" w:space="0" w:color="76923C"/>
                              <w:right w:val="nil"/>
                              <w:insideH w:val="single" w:sz="4" w:space="0" w:color="76923C"/>
                              <w:insideV w:val="nil"/>
                            </w:tcBorders>
                            <w:shd w:color="auto" w:fill="76923C" w:themeFill="accent3" w:themeFillShade="bf" w:val="clear"/>
                            <w:tcMar>
                              <w:left w:w="113" w:type="dxa"/>
                            </w:tcMar>
                          </w:tcPr>
                          <w:p>
                            <w:pPr>
                              <w:pStyle w:val="ListParagraph"/>
                              <w:spacing w:lineRule="auto" w:line="240" w:before="0" w:after="0"/>
                              <w:ind w:left="0" w:hanging="0"/>
                              <w:contextualSpacing/>
                              <w:jc w:val="center"/>
                              <w:cnfStyle w:val="100000000000"/>
                              <w:rPr>
                                <w:rFonts w:eastAsia="" w:cs="" w:cstheme="minorBidi" w:eastAsiaTheme="minorEastAsia"/>
                                <w:color w:val="FFFFFF" w:themeColor="background1"/>
                                <w:lang w:val="en-US" w:eastAsia="en-US" w:bidi="en-US"/>
                              </w:rPr>
                            </w:pPr>
                            <w:r>
                              <w:rPr>
                                <w:rFonts w:eastAsia="Times New Roman" w:cs="" w:ascii="Times New Roman" w:hAnsi="Times New Roman" w:cstheme="minorBidi"/>
                                <w:b w:val="false"/>
                                <w:bCs w:val="false"/>
                                <w:color w:val="FFFFFF" w:themeColor="background1"/>
                                <w:sz w:val="28"/>
                                <w:szCs w:val="28"/>
                                <w:lang w:val="en-US" w:eastAsia="en-US" w:bidi="en-US"/>
                              </w:rPr>
                              <w:t>Определение</w:t>
                            </w:r>
                          </w:p>
                        </w:tc>
                        <w:tc>
                          <w:tcPr>
                            <w:tcW w:w="3578" w:type="dxa"/>
                            <w:tcBorders>
                              <w:top w:val="single" w:sz="4" w:space="0" w:color="76923C"/>
                              <w:left w:val="single" w:sz="4" w:space="0" w:color="76923C"/>
                              <w:bottom w:val="single" w:sz="4" w:space="0" w:color="76923C"/>
                              <w:right w:val="single" w:sz="4" w:space="0" w:color="76923C"/>
                              <w:insideH w:val="single" w:sz="4" w:space="0" w:color="76923C"/>
                              <w:insideV w:val="single" w:sz="4" w:space="0" w:color="76923C"/>
                            </w:tcBorders>
                            <w:shd w:color="auto" w:fill="76923C" w:themeFill="accent3" w:themeFillShade="bf" w:val="clear"/>
                            <w:tcMar>
                              <w:left w:w="108" w:type="dxa"/>
                            </w:tcMar>
                          </w:tcPr>
                          <w:p>
                            <w:pPr>
                              <w:pStyle w:val="ListParagraph"/>
                              <w:spacing w:lineRule="auto" w:line="240" w:before="0" w:after="0"/>
                              <w:ind w:left="0" w:hanging="0"/>
                              <w:contextualSpacing/>
                              <w:jc w:val="center"/>
                              <w:cnfStyle w:val="100000000000"/>
                              <w:rPr>
                                <w:rFonts w:eastAsia="" w:cs="" w:cstheme="minorBidi" w:eastAsiaTheme="minorEastAsia"/>
                                <w:color w:val="FFFFFF" w:themeColor="background1"/>
                                <w:lang w:val="en-US" w:eastAsia="en-US" w:bidi="en-US"/>
                              </w:rPr>
                            </w:pPr>
                            <w:r>
                              <w:rPr>
                                <w:rFonts w:eastAsia="Times New Roman" w:cs="" w:ascii="Times New Roman" w:hAnsi="Times New Roman" w:cstheme="minorBidi"/>
                                <w:b w:val="false"/>
                                <w:bCs w:val="false"/>
                                <w:color w:val="FFFFFF" w:themeColor="background1"/>
                                <w:sz w:val="28"/>
                                <w:szCs w:val="28"/>
                                <w:lang w:val="en-US" w:eastAsia="en-US" w:bidi="en-US"/>
                              </w:rPr>
                              <w:t>Аналогия в семейном</w:t>
                            </w:r>
                          </w:p>
                          <w:p>
                            <w:pPr>
                              <w:pStyle w:val="ListParagraph"/>
                              <w:spacing w:lineRule="auto" w:line="240" w:before="0" w:after="0"/>
                              <w:ind w:left="0" w:hanging="0"/>
                              <w:contextualSpacing/>
                              <w:jc w:val="center"/>
                              <w:cnfStyle w:val="100000000000"/>
                              <w:rPr>
                                <w:rFonts w:eastAsia="" w:cs="" w:cstheme="minorBidi" w:eastAsiaTheme="minorEastAsia"/>
                                <w:color w:val="FFFFFF" w:themeColor="background1"/>
                                <w:lang w:val="en-US" w:eastAsia="en-US" w:bidi="en-US"/>
                              </w:rPr>
                            </w:pPr>
                            <w:r>
                              <w:rPr>
                                <w:rFonts w:eastAsia="Times New Roman" w:cs="" w:ascii="Times New Roman" w:hAnsi="Times New Roman" w:cstheme="minorBidi"/>
                                <w:b w:val="false"/>
                                <w:bCs w:val="false"/>
                                <w:color w:val="FFFFFF" w:themeColor="background1"/>
                                <w:sz w:val="28"/>
                                <w:szCs w:val="28"/>
                                <w:lang w:val="en-US" w:eastAsia="en-US" w:bidi="en-US"/>
                              </w:rPr>
                              <w:t>бюджете</w:t>
                            </w:r>
                          </w:p>
                        </w:tc>
                      </w:tr>
                      <w:tr>
                        <w:trPr>
                          <w:cnfStyle w:val="000000100000"/>
                        </w:trPr>
                        <w:tc>
                          <w:tcPr>
                            <w:tcW w:w="2943" w:type="dxa"/>
                            <w:cnfStyle w:val="001000000000"/>
                            <w:tcBorders>
                              <w:top w:val="nil"/>
                              <w:left w:val="single" w:sz="4" w:space="0" w:color="76923C"/>
                              <w:bottom w:val="nil"/>
                              <w:right w:val="nil"/>
                              <w:insideH w:val="nil"/>
                              <w:insideV w:val="nil"/>
                            </w:tcBorders>
                            <w:shd w:color="auto" w:fill="C2D69B" w:themeFill="accent3" w:themeFillTint="99" w:val="clear"/>
                            <w:tcMar>
                              <w:left w:w="98" w:type="dxa"/>
                            </w:tcMar>
                          </w:tcPr>
                          <w:p>
                            <w:pPr>
                              <w:pStyle w:val="ListParagraph"/>
                              <w:spacing w:before="0" w:after="200"/>
                              <w:ind w:left="0" w:hanging="0"/>
                              <w:contextualSpacing/>
                              <w:rPr>
                                <w:rFonts w:ascii="Calibri" w:hAnsi="Calibri" w:eastAsia="" w:cs="" w:asciiTheme="minorHAnsi" w:cstheme="minorBidi" w:eastAsiaTheme="minorEastAsia" w:hAnsiTheme="minorHAnsi"/>
                                <w:lang w:val="en-US" w:eastAsia="en-US" w:bidi="en-US"/>
                              </w:rPr>
                            </w:pPr>
                            <w:r>
                              <w:rPr>
                                <w:rFonts w:eastAsia="" w:cs="" w:cstheme="minorBidi" w:eastAsiaTheme="minorEastAsia"/>
                                <w:b w:val="false"/>
                                <w:bCs w:val="false"/>
                                <w:sz w:val="24"/>
                                <w:szCs w:val="24"/>
                                <w:lang w:val="en-US" w:eastAsia="en-US" w:bidi="en-US"/>
                              </w:rPr>
                              <w:t>Дотации (от лат.«Dotatio» –дар, пожертвование)</w:t>
                            </w:r>
                          </w:p>
                        </w:tc>
                        <w:tc>
                          <w:tcPr>
                            <w:tcW w:w="34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  <w:insideH w:val="nil"/>
                              <w:insideV w:val="nil"/>
                            </w:tcBorders>
                            <w:shd w:color="auto" w:fill="C2D69B" w:themeFill="accent3" w:themeFillTint="99" w:val="clear"/>
                            <w:tcMar>
                              <w:left w:w="113" w:type="dxa"/>
                            </w:tcMar>
                          </w:tcPr>
                          <w:p>
                            <w:pPr>
                              <w:pStyle w:val="ListParagraph"/>
                              <w:spacing w:before="0" w:after="200"/>
                              <w:ind w:left="0" w:hanging="0"/>
                              <w:contextualSpacing/>
                              <w:cnfStyle w:val="000000100000"/>
                              <w:rPr>
                                <w:rFonts w:eastAsia="" w:cs="" w:cstheme="minorBidi" w:eastAsiaTheme="minorEastAsia"/>
                                <w:lang w:eastAsia="en-US" w:bidi="en-US"/>
                              </w:rPr>
                            </w:pPr>
                            <w:r>
                              <w:rPr>
                                <w:rFonts w:eastAsia="" w:cs="" w:ascii="Times New Roman" w:hAnsi="Times New Roman" w:cstheme="minorBidi" w:eastAsiaTheme="minorEastAsia"/>
                                <w:bCs/>
                                <w:sz w:val="24"/>
                                <w:szCs w:val="24"/>
                                <w:lang w:val="ru-RU" w:eastAsia="en-US" w:bidi="en-US"/>
                              </w:rPr>
                              <w:t>Предоставляются без определения конкретной цели их использования</w:t>
                            </w:r>
                          </w:p>
                        </w:tc>
                        <w:tc>
                          <w:tcPr>
                            <w:tcW w:w="3578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76923C"/>
                              <w:insideH w:val="nil"/>
                              <w:insideV w:val="single" w:sz="4" w:space="0" w:color="76923C"/>
                            </w:tcBorders>
                            <w:shd w:color="auto" w:fill="C2D69B" w:themeFill="accent3" w:themeFillTint="99" w:val="clear"/>
                            <w:tcMar>
                              <w:left w:w="113" w:type="dxa"/>
                            </w:tcMar>
                          </w:tcPr>
                          <w:p>
                            <w:pPr>
                              <w:pStyle w:val="ListParagraph"/>
                              <w:spacing w:before="0" w:after="200"/>
                              <w:ind w:left="0" w:hanging="0"/>
                              <w:contextualSpacing/>
                              <w:cnfStyle w:val="000000100000"/>
                              <w:rPr>
                                <w:rFonts w:eastAsia="" w:cs="" w:cstheme="minorBidi" w:eastAsiaTheme="minorEastAsia"/>
                                <w:lang w:eastAsia="en-US" w:bidi="en-US"/>
                              </w:rPr>
                            </w:pPr>
                            <w:r>
                              <w:rPr>
                                <w:rFonts w:eastAsia="" w:cs="" w:ascii="Times New Roman" w:hAnsi="Times New Roman" w:cstheme="minorBidi" w:eastAsiaTheme="minorEastAsia"/>
                                <w:bCs/>
                                <w:sz w:val="24"/>
                                <w:szCs w:val="24"/>
                                <w:lang w:val="ru-RU" w:eastAsia="en-US" w:bidi="en-US"/>
                              </w:rPr>
                              <w:t>Вы даете своему ребенку «карманные деньги»</w:t>
                            </w:r>
                          </w:p>
                        </w:tc>
                      </w:tr>
                      <w:tr>
                        <w:trPr>
                          <w:trHeight w:val="2259" w:hRule="atLeast"/>
                          <w:cnfStyle w:val="000000010000"/>
                        </w:trPr>
                        <w:tc>
                          <w:tcPr>
                            <w:tcW w:w="2943" w:type="dxa"/>
                            <w:cnfStyle w:val="001000000000"/>
                            <w:tcBorders>
                              <w:top w:val="nil"/>
                              <w:left w:val="single" w:sz="4" w:space="0" w:color="76923C"/>
                              <w:bottom w:val="nil"/>
                              <w:right w:val="nil"/>
                              <w:insideH w:val="nil"/>
                              <w:insideV w:val="nil"/>
                            </w:tcBorders>
                            <w:shd w:fill="auto" w:val="clear"/>
                            <w:tcMar>
                              <w:left w:w="98" w:type="dxa"/>
                            </w:tcMar>
                          </w:tcPr>
                          <w:p>
                            <w:pPr>
                              <w:pStyle w:val="ListParagraph"/>
                              <w:spacing w:before="0" w:after="200"/>
                              <w:ind w:left="0" w:hanging="0"/>
                              <w:contextualSpacing/>
                              <w:rPr>
                                <w:rFonts w:ascii="Calibri" w:hAnsi="Calibri" w:eastAsia="" w:cs="" w:asciiTheme="minorHAnsi" w:cstheme="minorBidi" w:eastAsiaTheme="minorEastAsia" w:hAnsiTheme="minorHAnsi"/>
                                <w:lang w:val="en-US" w:eastAsia="en-US" w:bidi="en-US"/>
                              </w:rPr>
                            </w:pPr>
                            <w:r>
                              <w:rPr>
                                <w:rFonts w:eastAsia="" w:cs="" w:cstheme="minorBidi" w:eastAsiaTheme="minorEastAsia"/>
                                <w:b w:val="false"/>
                                <w:bCs w:val="false"/>
                                <w:sz w:val="24"/>
                                <w:szCs w:val="24"/>
                                <w:lang w:val="en-US" w:eastAsia="en-US" w:bidi="en-US"/>
                              </w:rPr>
                              <w:t>Субвенции (от лат.Subveire»– приходить на помощь)</w:t>
                            </w:r>
                          </w:p>
                        </w:tc>
                        <w:tc>
                          <w:tcPr>
                            <w:tcW w:w="34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  <w:insideH w:val="nil"/>
                              <w:insideV w:val="nil"/>
                            </w:tcBorders>
                            <w:shd w:fill="auto" w:val="clear"/>
                            <w:tcMar>
                              <w:left w:w="113" w:type="dxa"/>
                            </w:tcMar>
                          </w:tcPr>
                          <w:p>
                            <w:pPr>
                              <w:pStyle w:val="ListParagraph"/>
                              <w:spacing w:before="0" w:after="200"/>
                              <w:ind w:left="0" w:hanging="0"/>
                              <w:contextualSpacing/>
                              <w:cnfStyle w:val="000000010000"/>
                              <w:rPr>
                                <w:rFonts w:eastAsia="" w:cs="" w:cstheme="minorBidi" w:eastAsiaTheme="minorEastAsia"/>
                                <w:lang w:eastAsia="en-US" w:bidi="en-US"/>
                              </w:rPr>
                            </w:pPr>
                            <w:r>
                              <w:rPr>
                                <w:rFonts w:eastAsia="" w:cs="" w:ascii="Times New Roman" w:hAnsi="Times New Roman" w:cstheme="minorBidi" w:eastAsiaTheme="minorEastAsia"/>
                                <w:bCs/>
                                <w:sz w:val="24"/>
                                <w:szCs w:val="24"/>
                                <w:lang w:val="ru-RU" w:eastAsia="en-US" w:bidi="en-US"/>
                              </w:rPr>
                              <w:t>Предоставляются на финансирование«переданных» другим публично-правовым образованиям полномочий</w:t>
                            </w:r>
                          </w:p>
                        </w:tc>
                        <w:tc>
                          <w:tcPr>
                            <w:tcW w:w="3578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76923C"/>
                              <w:insideH w:val="nil"/>
                              <w:insideV w:val="single" w:sz="4" w:space="0" w:color="76923C"/>
                            </w:tcBorders>
                            <w:shd w:fill="auto" w:val="clear"/>
                            <w:tcMar>
                              <w:left w:w="113" w:type="dxa"/>
                            </w:tcMar>
                          </w:tcPr>
                          <w:p>
                            <w:pPr>
                              <w:pStyle w:val="ListParagraph"/>
                              <w:spacing w:before="0" w:after="200"/>
                              <w:ind w:left="0" w:hanging="0"/>
                              <w:contextualSpacing/>
                              <w:cnfStyle w:val="000000010000"/>
                              <w:rPr>
                                <w:rFonts w:eastAsia="" w:cs="" w:cstheme="minorBidi" w:eastAsiaTheme="minorEastAsia"/>
                                <w:lang w:eastAsia="en-US" w:bidi="en-US"/>
                              </w:rPr>
                            </w:pPr>
                            <w:r>
                              <w:rPr>
                                <w:rFonts w:eastAsia="" w:cs="" w:ascii="Times New Roman" w:hAnsi="Times New Roman" w:cstheme="minorBidi" w:eastAsiaTheme="minorEastAsia"/>
                                <w:bCs/>
                                <w:sz w:val="24"/>
                                <w:szCs w:val="24"/>
                                <w:lang w:val="ru-RU" w:eastAsia="en-US" w:bidi="en-US"/>
                              </w:rPr>
                              <w:t>Вы даете своему ребенку деньги и посылаете его в магазин купить продукты(по списку)</w:t>
                            </w:r>
                          </w:p>
                        </w:tc>
                      </w:tr>
                      <w:tr>
                        <w:trPr>
                          <w:cnfStyle w:val="000000100000"/>
                        </w:trPr>
                        <w:tc>
                          <w:tcPr>
                            <w:tcW w:w="2943" w:type="dxa"/>
                            <w:cnfStyle w:val="001000000000"/>
                            <w:tcBorders>
                              <w:top w:val="nil"/>
                              <w:left w:val="single" w:sz="4" w:space="0" w:color="76923C"/>
                              <w:bottom w:val="single" w:sz="4" w:space="0" w:color="76923C"/>
                              <w:right w:val="nil"/>
                              <w:insideH w:val="single" w:sz="4" w:space="0" w:color="76923C"/>
                              <w:insideV w:val="nil"/>
                            </w:tcBorders>
                            <w:shd w:color="auto" w:fill="C2D69B" w:themeFill="accent3" w:themeFillTint="99" w:val="clear"/>
                            <w:tcMar>
                              <w:left w:w="98" w:type="dxa"/>
                            </w:tcMar>
                          </w:tcPr>
                          <w:p>
                            <w:pPr>
                              <w:pStyle w:val="ListParagraph"/>
                              <w:spacing w:before="0" w:after="200"/>
                              <w:ind w:left="0" w:hanging="0"/>
                              <w:contextualSpacing/>
                              <w:rPr>
                                <w:rFonts w:ascii="Calibri" w:hAnsi="Calibri" w:eastAsia="" w:cs="" w:asciiTheme="minorHAnsi" w:cstheme="minorBidi" w:eastAsiaTheme="minorEastAsia" w:hAnsiTheme="minorHAnsi"/>
                                <w:lang w:val="en-US" w:eastAsia="en-US" w:bidi="en-US"/>
                              </w:rPr>
                            </w:pPr>
                            <w:r>
                              <w:rPr>
                                <w:rFonts w:eastAsia="" w:cs="" w:cstheme="minorBidi" w:eastAsiaTheme="minorEastAsia"/>
                                <w:b w:val="false"/>
                                <w:bCs w:val="false"/>
                                <w:sz w:val="24"/>
                                <w:szCs w:val="24"/>
                                <w:lang w:val="en-US" w:eastAsia="en-US" w:bidi="en-US"/>
                              </w:rPr>
                              <w:t>Субсидии (от лат.«Subsidium» - поддержка)</w:t>
                            </w:r>
                          </w:p>
                        </w:tc>
                        <w:tc>
                          <w:tcPr>
                            <w:tcW w:w="3402" w:type="dxa"/>
                            <w:tcBorders>
                              <w:top w:val="nil"/>
                              <w:left w:val="nil"/>
                              <w:bottom w:val="single" w:sz="4" w:space="0" w:color="76923C"/>
                              <w:right w:val="nil"/>
                              <w:insideH w:val="single" w:sz="4" w:space="0" w:color="76923C"/>
                              <w:insideV w:val="nil"/>
                            </w:tcBorders>
                            <w:shd w:color="auto" w:fill="C2D69B" w:themeFill="accent3" w:themeFillTint="99" w:val="clear"/>
                            <w:tcMar>
                              <w:left w:w="113" w:type="dxa"/>
                            </w:tcMar>
                          </w:tcPr>
                          <w:p>
                            <w:pPr>
                              <w:pStyle w:val="ListParagraph"/>
                              <w:spacing w:before="0" w:after="200"/>
                              <w:ind w:left="0" w:hanging="0"/>
                              <w:contextualSpacing/>
                              <w:cnfStyle w:val="000000100000"/>
                              <w:rPr>
                                <w:rFonts w:eastAsia="" w:cs="" w:cstheme="minorBidi" w:eastAsiaTheme="minorEastAsia"/>
                                <w:lang w:eastAsia="en-US" w:bidi="en-US"/>
                              </w:rPr>
                            </w:pPr>
                            <w:r>
                              <w:rPr>
                                <w:rFonts w:eastAsia="" w:cs="" w:ascii="Times New Roman" w:hAnsi="Times New Roman" w:cstheme="minorBidi" w:eastAsiaTheme="minorEastAsia"/>
                                <w:bCs/>
                                <w:sz w:val="24"/>
                                <w:szCs w:val="24"/>
                                <w:lang w:val="ru-RU" w:eastAsia="en-US" w:bidi="en-US"/>
                              </w:rPr>
                              <w:t>Предоставляются на условиях долевого софинансирования расходов других бюджетов</w:t>
                            </w:r>
                          </w:p>
                        </w:tc>
                        <w:tc>
                          <w:tcPr>
                            <w:tcW w:w="3578" w:type="dxa"/>
                            <w:tcBorders>
                              <w:top w:val="nil"/>
                              <w:left w:val="nil"/>
                              <w:bottom w:val="single" w:sz="4" w:space="0" w:color="76923C"/>
                              <w:right w:val="single" w:sz="4" w:space="0" w:color="76923C"/>
                              <w:insideH w:val="single" w:sz="4" w:space="0" w:color="76923C"/>
                              <w:insideV w:val="single" w:sz="4" w:space="0" w:color="76923C"/>
                            </w:tcBorders>
                            <w:shd w:color="auto" w:fill="C2D69B" w:themeFill="accent3" w:themeFillTint="99" w:val="clear"/>
                            <w:tcMar>
                              <w:left w:w="113" w:type="dxa"/>
                            </w:tcMar>
                          </w:tcPr>
                          <w:p>
                            <w:pPr>
                              <w:pStyle w:val="ListParagraph"/>
                              <w:spacing w:before="0" w:after="200"/>
                              <w:ind w:left="0" w:hanging="0"/>
                              <w:contextualSpacing/>
                              <w:cnfStyle w:val="000000100000"/>
                              <w:rPr>
                                <w:rFonts w:eastAsia="" w:cs="" w:cstheme="minorBidi" w:eastAsiaTheme="minorEastAsia"/>
                                <w:lang w:eastAsia="en-US" w:bidi="en-US"/>
                              </w:rPr>
                            </w:pPr>
                            <w:r>
                              <w:rPr>
                                <w:rFonts w:eastAsia="" w:cs="" w:ascii="Times New Roman" w:hAnsi="Times New Roman" w:cstheme="minorBidi" w:eastAsiaTheme="minorEastAsia"/>
                                <w:bCs/>
                                <w:sz w:val="24"/>
                                <w:szCs w:val="24"/>
                                <w:lang w:val="ru-RU" w:eastAsia="en-US" w:bidi="en-US"/>
                              </w:rPr>
                              <w:t>Вы «добавляете» денег для того, чтобы ваш ребенок купил себе новый телефон(а остальные он накопит сам)</w:t>
                            </w:r>
                          </w:p>
                        </w:tc>
                      </w:tr>
                    </w:tbl>
                    <w:p>
                      <w:pPr>
                        <w:pStyle w:val="Style20"/>
                        <w:spacing w:before="0" w:after="200"/>
                        <w:rPr/>
                      </w:pPr>
                      <w:r>
                        <w:rPr/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spacing w:lineRule="auto" w:line="240"/>
        <w:rPr>
          <w:rFonts w:ascii="Times New Roman" w:hAnsi="Times New Roman"/>
          <w:b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sz w:val="32"/>
          <w:szCs w:val="32"/>
          <w:highlight w:val="yellow"/>
        </w:rPr>
      </w:pPr>
      <w:r>
        <w:rPr/>
        <w:drawing>
          <wp:inline distT="0" distB="0" distL="0" distR="0">
            <wp:extent cx="4791075" cy="2143125"/>
            <wp:effectExtent l="0" t="0" r="0" b="0"/>
            <wp:docPr id="12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4878" t="30207" r="29105" b="24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/>
        <w:rPr>
          <w:rFonts w:ascii="Times New Roman" w:hAnsi="Times New Roman"/>
          <w:b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sz w:val="32"/>
          <w:szCs w:val="32"/>
        </w:rPr>
      </w:pPr>
      <w:r>
        <w:rPr/>
        <w:drawing>
          <wp:inline distT="0" distB="0" distL="0" distR="0">
            <wp:extent cx="6419850" cy="4591050"/>
            <wp:effectExtent l="0" t="0" r="0" b="0"/>
            <wp:docPr id="13" name="Изображение2" descr="https://myslide.ru/documents_4/a7024ce639960d89f54d516257e8f1db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2" descr="https://myslide.ru/documents_4/a7024ce639960d89f54d516257e8f1db/img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459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/>
        <w:rPr>
          <w:rFonts w:ascii="Times New Roman" w:hAnsi="Times New Roman"/>
          <w:b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Налоги, зачисляемые в бюджет муниципального образования</w:t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</w:t>
      </w:r>
      <w:r>
        <w:rPr>
          <w:rFonts w:ascii="Times New Roman" w:hAnsi="Times New Roman"/>
          <w:b/>
          <w:sz w:val="32"/>
          <w:szCs w:val="32"/>
        </w:rPr>
        <w:t>в 2024 году</w:t>
      </w:r>
    </w:p>
    <w:tbl>
      <w:tblPr>
        <w:tblW w:w="9781" w:type="dxa"/>
        <w:jc w:val="left"/>
        <w:tblInd w:w="386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0" w:type="dxa"/>
          <w:left w:w="103" w:type="dxa"/>
          <w:bottom w:w="0" w:type="dxa"/>
          <w:right w:w="108" w:type="dxa"/>
        </w:tblCellMar>
        <w:tblLook w:val="04a0"/>
      </w:tblPr>
      <w:tblGrid>
        <w:gridCol w:w="2980"/>
        <w:gridCol w:w="3190"/>
        <w:gridCol w:w="3611"/>
      </w:tblGrid>
      <w:tr>
        <w:trPr/>
        <w:tc>
          <w:tcPr>
            <w:tcW w:w="29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FF5050" w:val="clear"/>
            <w:tcMar>
              <w:left w:w="103" w:type="dxa"/>
            </w:tcMar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/>
                <w:b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Налог на доходы физических лиц</w:t>
            </w:r>
          </w:p>
        </w:tc>
        <w:tc>
          <w:tcPr>
            <w:tcW w:w="31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99FF33" w:val="clear"/>
            <w:tcMar>
              <w:left w:w="103" w:type="dxa"/>
            </w:tcMar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/>
                <w:b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Налог на имущество физических лиц</w:t>
            </w:r>
          </w:p>
        </w:tc>
        <w:tc>
          <w:tcPr>
            <w:tcW w:w="36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66CCFF" w:val="clear"/>
            <w:tcMar>
              <w:left w:w="103" w:type="dxa"/>
            </w:tcMar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/>
                <w:b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Земельный налог</w:t>
            </w:r>
          </w:p>
        </w:tc>
      </w:tr>
      <w:tr>
        <w:trPr>
          <w:trHeight w:val="2153" w:hRule="atLeast"/>
        </w:trPr>
        <w:tc>
          <w:tcPr>
            <w:tcW w:w="978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3 %                                    100 %                                      100 %</w:t>
            </w:r>
          </w:p>
          <w:p>
            <w:pPr>
              <w:pStyle w:val="Normal"/>
              <w:widowControl w:val="false"/>
              <w:rPr>
                <w:rFonts w:ascii="Arial" w:hAnsi="Arial"/>
              </w:rPr>
            </w:pPr>
            <w:r>
              <w:rPr>
                <w:rFonts w:ascii="Arial" w:hAnsi="Arial"/>
              </w:rPr>
              <mc:AlternateContent>
                <mc:Choice Requires="wps">
                  <w:drawing>
                    <wp:anchor behindDoc="0" distT="0" distB="-16510" distL="114300" distR="97155" simplePos="0" locked="0" layoutInCell="1" allowOverlap="1" relativeHeight="2">
                      <wp:simplePos x="0" y="0"/>
                      <wp:positionH relativeFrom="column">
                        <wp:posOffset>539115</wp:posOffset>
                      </wp:positionH>
                      <wp:positionV relativeFrom="paragraph">
                        <wp:posOffset>1270</wp:posOffset>
                      </wp:positionV>
                      <wp:extent cx="876935" cy="824230"/>
                      <wp:effectExtent l="0" t="0" r="17145" b="17145"/>
                      <wp:wrapNone/>
                      <wp:docPr id="14" name="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76240" cy="8236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5050"/>
                              </a:solidFill>
                              <a:ln w="12600">
                                <a:solidFill>
                                  <a:srgbClr val="4f81bd"/>
                                </a:solidFill>
                                <a:round/>
                              </a:ln>
                              <a:effectLst>
                                <a:outerShdw dir="2700000" dist="24130">
                                  <a:srgbClr val="243f60"/>
                                </a:outerShdw>
                              </a:effectLst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txbx>
                              <w:txbxContent>
                                <w:p>
                                  <w:pPr>
                                    <w:pStyle w:val="Style20"/>
                                    <w:spacing w:before="0" w:after="200"/>
                                    <w:rPr>
                                      <w:color w:val="auto"/>
                                    </w:rPr>
                                  </w:pPr>
                                  <w:r>
                                    <w:rPr>
                                      <w:color w:val="auto"/>
                                    </w:rPr>
                                  </w:r>
                                </w:p>
                              </w:txbxContent>
                            </wps:txbx>
                            <wps:bodyPr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fillcolor="#ff5050" stroked="t" style="position:absolute;margin-left:42.45pt;margin-top:0.1pt;width:68.95pt;height:64.8pt">
                      <w10:wrap type="none"/>
                      <v:fill o:detectmouseclick="t" type="solid" color2="#00afaf"/>
                      <v:stroke color="#4f81bd" weight="12600" joinstyle="round" endcap="flat"/>
                      <v:shadow on="t" obscured="f" color="#243f60"/>
                      <v:textbox>
                        <w:txbxContent>
                          <w:p>
                            <w:pPr>
                              <w:pStyle w:val="Style20"/>
                              <w:spacing w:before="0" w:after="200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  <mc:AlternateContent>
                <mc:Choice Requires="wps">
                  <w:drawing>
                    <wp:anchor behindDoc="0" distT="0" distB="-16510" distL="114300" distR="97155" simplePos="0" locked="0" layoutInCell="1" allowOverlap="1" relativeHeight="3">
                      <wp:simplePos x="0" y="0"/>
                      <wp:positionH relativeFrom="column">
                        <wp:posOffset>4692015</wp:posOffset>
                      </wp:positionH>
                      <wp:positionV relativeFrom="paragraph">
                        <wp:posOffset>2540</wp:posOffset>
                      </wp:positionV>
                      <wp:extent cx="810260" cy="824865"/>
                      <wp:effectExtent l="0" t="0" r="17145" b="17145"/>
                      <wp:wrapNone/>
                      <wp:docPr id="16" name="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9640" cy="824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66ccff"/>
                              </a:solidFill>
                              <a:ln w="12600">
                                <a:solidFill>
                                  <a:srgbClr val="4f81bd"/>
                                </a:solidFill>
                                <a:round/>
                              </a:ln>
                              <a:effectLst>
                                <a:outerShdw dir="2700000" dist="24130">
                                  <a:srgbClr val="243f60"/>
                                </a:outerShdw>
                              </a:effectLst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txbx>
                              <w:txbxContent>
                                <w:p>
                                  <w:pPr>
                                    <w:pStyle w:val="Style20"/>
                                    <w:spacing w:before="0" w:after="200"/>
                                    <w:rPr>
                                      <w:color w:val="auto"/>
                                    </w:rPr>
                                  </w:pPr>
                                  <w:r>
                                    <w:rPr>
                                      <w:color w:val="auto"/>
                                    </w:rPr>
                                  </w:r>
                                </w:p>
                              </w:txbxContent>
                            </wps:txbx>
                            <wps:bodyPr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fillcolor="#66ccff" stroked="t" style="position:absolute;margin-left:369.45pt;margin-top:0.2pt;width:63.7pt;height:64.85pt">
                      <w10:wrap type="none"/>
                      <v:fill o:detectmouseclick="t" type="solid" color2="#993300"/>
                      <v:stroke color="#4f81bd" weight="12600" joinstyle="round" endcap="flat"/>
                      <v:shadow on="t" obscured="f" color="#243f60"/>
                      <v:textbox>
                        <w:txbxContent>
                          <w:p>
                            <w:pPr>
                              <w:pStyle w:val="Style20"/>
                              <w:spacing w:before="0" w:after="200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  <mc:AlternateContent>
                <mc:Choice Requires="wps">
                  <w:drawing>
                    <wp:anchor behindDoc="0" distT="0" distB="-16510" distL="114300" distR="97155" simplePos="0" locked="0" layoutInCell="1" allowOverlap="1" relativeHeight="4">
                      <wp:simplePos x="0" y="0"/>
                      <wp:positionH relativeFrom="column">
                        <wp:posOffset>2499995</wp:posOffset>
                      </wp:positionH>
                      <wp:positionV relativeFrom="paragraph">
                        <wp:posOffset>2540</wp:posOffset>
                      </wp:positionV>
                      <wp:extent cx="829310" cy="824230"/>
                      <wp:effectExtent l="0" t="0" r="17145" b="17145"/>
                      <wp:wrapNone/>
                      <wp:docPr id="18" name="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720" cy="8236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9ff33"/>
                              </a:solidFill>
                              <a:ln w="12600">
                                <a:solidFill>
                                  <a:srgbClr val="4f81bd"/>
                                </a:solidFill>
                                <a:round/>
                              </a:ln>
                              <a:effectLst>
                                <a:outerShdw dir="2700000" dist="24130">
                                  <a:srgbClr val="243f60"/>
                                </a:outerShdw>
                              </a:effectLst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txbx>
                              <w:txbxContent>
                                <w:p>
                                  <w:pPr>
                                    <w:pStyle w:val="Style20"/>
                                    <w:spacing w:before="0" w:after="200"/>
                                    <w:rPr>
                                      <w:color w:val="auto"/>
                                    </w:rPr>
                                  </w:pPr>
                                  <w:r>
                                    <w:rPr>
                                      <w:color w:val="auto"/>
                                    </w:rPr>
                                  </w:r>
                                </w:p>
                              </w:txbxContent>
                            </wps:txbx>
                            <wps:bodyPr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fillcolor="#99ff33" stroked="t" style="position:absolute;margin-left:196.85pt;margin-top:0.2pt;width:65.2pt;height:64.8pt">
                      <w10:wrap type="none"/>
                      <v:fill o:detectmouseclick="t" type="solid" color2="#6600cc"/>
                      <v:stroke color="#4f81bd" weight="12600" joinstyle="round" endcap="flat"/>
                      <v:shadow on="t" obscured="f" color="#243f60"/>
                      <v:textbox>
                        <w:txbxContent>
                          <w:p>
                            <w:pPr>
                              <w:pStyle w:val="Style20"/>
                              <w:spacing w:before="0" w:after="200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>
            <w:pPr>
              <w:pStyle w:val="Normal"/>
              <w:widowControl w:val="false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  <w:p>
            <w:pPr>
              <w:pStyle w:val="Normal"/>
              <w:widowControl w:val="false"/>
              <w:spacing w:before="0" w:after="200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</w:tr>
      <w:tr>
        <w:trPr>
          <w:trHeight w:val="419" w:hRule="atLeast"/>
        </w:trPr>
        <w:tc>
          <w:tcPr>
            <w:tcW w:w="978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FFFF99" w:val="clear"/>
            <w:tcMar>
              <w:left w:w="103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Местный бюджет</w:t>
            </w:r>
          </w:p>
          <w:p>
            <w:pPr>
              <w:pStyle w:val="Normal"/>
              <w:widowControl w:val="false"/>
              <w:spacing w:before="0" w:after="0"/>
              <w:jc w:val="center"/>
              <w:rPr>
                <w:rFonts w:ascii="Arial" w:hAnsi="Arial"/>
              </w:rPr>
            </w:pPr>
            <w:r>
              <w:rPr/>
              <w:drawing>
                <wp:inline distT="0" distB="0" distL="0" distR="0">
                  <wp:extent cx="2276475" cy="1628775"/>
                  <wp:effectExtent l="0" t="0" r="0" b="0"/>
                  <wp:docPr id="20" name="Рисунок 22" descr="https://mtdata.ru/u28/photoD47E/20024677305-0/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22" descr="https://mtdata.ru/u28/photoD47E/20024677305-0/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1628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Normal"/>
        <w:spacing w:lineRule="auto" w:line="240"/>
        <w:rPr>
          <w:rFonts w:ascii="Times New Roman" w:hAnsi="Times New Roman"/>
          <w:b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Структура доходов бюджета Знаменского муниципального образования</w:t>
      </w:r>
    </w:p>
    <w:p>
      <w:pPr>
        <w:pStyle w:val="Normal"/>
        <w:tabs>
          <w:tab w:val="left" w:pos="4020" w:leader="none"/>
          <w:tab w:val="center" w:pos="4677" w:leader="none"/>
        </w:tabs>
        <w:spacing w:lineRule="auto" w:line="2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ab/>
        <w:tab/>
        <w:tab/>
        <w:tab/>
        <w:tab/>
        <w:tab/>
        <w:tab/>
        <w:tab/>
        <w:t>тыс. руб.</w:t>
      </w:r>
    </w:p>
    <w:tbl>
      <w:tblPr>
        <w:tblW w:w="10170" w:type="dxa"/>
        <w:jc w:val="left"/>
        <w:tblInd w:w="386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0" w:type="dxa"/>
          <w:left w:w="98" w:type="dxa"/>
          <w:bottom w:w="0" w:type="dxa"/>
          <w:right w:w="108" w:type="dxa"/>
        </w:tblCellMar>
        <w:tblLook w:val="0000"/>
      </w:tblPr>
      <w:tblGrid>
        <w:gridCol w:w="4518"/>
        <w:gridCol w:w="1294"/>
        <w:gridCol w:w="1230"/>
        <w:gridCol w:w="1044"/>
        <w:gridCol w:w="1042"/>
        <w:gridCol w:w="1041"/>
      </w:tblGrid>
      <w:tr>
        <w:trPr>
          <w:trHeight w:val="322" w:hRule="atLeast"/>
        </w:trPr>
        <w:tc>
          <w:tcPr>
            <w:tcW w:w="4518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Наименование доходов</w:t>
            </w:r>
          </w:p>
        </w:tc>
        <w:tc>
          <w:tcPr>
            <w:tcW w:w="1294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Calibri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Отчет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2022 год</w:t>
            </w:r>
          </w:p>
        </w:tc>
        <w:tc>
          <w:tcPr>
            <w:tcW w:w="1230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Calibri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Оценка 2023 год</w:t>
            </w:r>
          </w:p>
        </w:tc>
        <w:tc>
          <w:tcPr>
            <w:tcW w:w="3127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План</w:t>
            </w:r>
          </w:p>
        </w:tc>
      </w:tr>
      <w:tr>
        <w:trPr>
          <w:trHeight w:val="466" w:hRule="atLeast"/>
        </w:trPr>
        <w:tc>
          <w:tcPr>
            <w:tcW w:w="4518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9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r>
          </w:p>
        </w:tc>
        <w:tc>
          <w:tcPr>
            <w:tcW w:w="1294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9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1230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9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1044" w:type="dxa"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4" w:space="0" w:color="00000A"/>
              <w:insideH w:val="single" w:sz="4" w:space="0" w:color="000001"/>
              <w:insideV w:val="single" w:sz="4" w:space="0" w:color="00000A"/>
            </w:tcBorders>
            <w:shd w:color="auto" w:fill="C2D69B" w:themeFill="accent3" w:themeFillTint="99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2024 год</w:t>
            </w:r>
          </w:p>
        </w:tc>
        <w:tc>
          <w:tcPr>
            <w:tcW w:w="1042" w:type="dxa"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4" w:space="0" w:color="00000A"/>
              <w:insideH w:val="single" w:sz="4" w:space="0" w:color="000001"/>
              <w:insideV w:val="single" w:sz="4" w:space="0" w:color="00000A"/>
            </w:tcBorders>
            <w:shd w:color="auto" w:fill="C2D69B" w:themeFill="accent3" w:themeFillTint="99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2025 год</w:t>
            </w:r>
          </w:p>
        </w:tc>
        <w:tc>
          <w:tcPr>
            <w:tcW w:w="1041" w:type="dxa"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4" w:space="0" w:color="00000A"/>
              <w:insideH w:val="single" w:sz="4" w:space="0" w:color="000001"/>
              <w:insideV w:val="single" w:sz="4" w:space="0" w:color="00000A"/>
            </w:tcBorders>
            <w:shd w:color="auto" w:fill="C2D69B" w:themeFill="accent3" w:themeFillTint="99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2026 год</w:t>
            </w:r>
          </w:p>
        </w:tc>
      </w:tr>
      <w:tr>
        <w:trPr>
          <w:trHeight w:val="240" w:hRule="atLeast"/>
        </w:trPr>
        <w:tc>
          <w:tcPr>
            <w:tcW w:w="45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Налоговые доходы  всего:</w:t>
            </w:r>
          </w:p>
        </w:tc>
        <w:tc>
          <w:tcPr>
            <w:tcW w:w="12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4373,9</w:t>
            </w:r>
          </w:p>
        </w:tc>
        <w:tc>
          <w:tcPr>
            <w:tcW w:w="12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3250,4</w:t>
            </w:r>
          </w:p>
        </w:tc>
        <w:tc>
          <w:tcPr>
            <w:tcW w:w="10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3940,8</w:t>
            </w:r>
          </w:p>
        </w:tc>
        <w:tc>
          <w:tcPr>
            <w:tcW w:w="10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3975,9</w:t>
            </w:r>
          </w:p>
        </w:tc>
        <w:tc>
          <w:tcPr>
            <w:tcW w:w="1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4099,2</w:t>
            </w:r>
          </w:p>
        </w:tc>
      </w:tr>
      <w:tr>
        <w:trPr>
          <w:trHeight w:val="240" w:hRule="atLeast"/>
        </w:trPr>
        <w:tc>
          <w:tcPr>
            <w:tcW w:w="45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12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r>
          </w:p>
        </w:tc>
        <w:tc>
          <w:tcPr>
            <w:tcW w:w="12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r>
          </w:p>
        </w:tc>
        <w:tc>
          <w:tcPr>
            <w:tcW w:w="10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r>
          </w:p>
        </w:tc>
        <w:tc>
          <w:tcPr>
            <w:tcW w:w="10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r>
          </w:p>
        </w:tc>
        <w:tc>
          <w:tcPr>
            <w:tcW w:w="1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r>
          </w:p>
        </w:tc>
      </w:tr>
      <w:tr>
        <w:trPr>
          <w:trHeight w:val="240" w:hRule="atLeast"/>
        </w:trPr>
        <w:tc>
          <w:tcPr>
            <w:tcW w:w="45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налог на доходы физических лиц</w:t>
            </w:r>
          </w:p>
        </w:tc>
        <w:tc>
          <w:tcPr>
            <w:tcW w:w="12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1228,1</w:t>
            </w:r>
          </w:p>
        </w:tc>
        <w:tc>
          <w:tcPr>
            <w:tcW w:w="12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1080,6</w:t>
            </w:r>
          </w:p>
        </w:tc>
        <w:tc>
          <w:tcPr>
            <w:tcW w:w="10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1411,8</w:t>
            </w:r>
          </w:p>
        </w:tc>
        <w:tc>
          <w:tcPr>
            <w:tcW w:w="10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1426,5</w:t>
            </w:r>
          </w:p>
        </w:tc>
        <w:tc>
          <w:tcPr>
            <w:tcW w:w="1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1441,4</w:t>
            </w:r>
          </w:p>
        </w:tc>
      </w:tr>
      <w:tr>
        <w:trPr>
          <w:trHeight w:val="424" w:hRule="atLeast"/>
        </w:trPr>
        <w:tc>
          <w:tcPr>
            <w:tcW w:w="45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акцизы на нефтепродукты</w:t>
            </w:r>
          </w:p>
        </w:tc>
        <w:tc>
          <w:tcPr>
            <w:tcW w:w="12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</w:tcPr>
          <w:p>
            <w:pPr>
              <w:pStyle w:val="Normal"/>
              <w:spacing w:before="0" w:after="20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1159,1</w:t>
            </w:r>
          </w:p>
        </w:tc>
        <w:tc>
          <w:tcPr>
            <w:tcW w:w="12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1067,3</w:t>
            </w:r>
          </w:p>
        </w:tc>
        <w:tc>
          <w:tcPr>
            <w:tcW w:w="10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934,5</w:t>
            </w:r>
          </w:p>
        </w:tc>
        <w:tc>
          <w:tcPr>
            <w:tcW w:w="10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954,6</w:t>
            </w:r>
          </w:p>
        </w:tc>
        <w:tc>
          <w:tcPr>
            <w:tcW w:w="1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1062,7</w:t>
            </w:r>
          </w:p>
        </w:tc>
      </w:tr>
      <w:tr>
        <w:trPr>
          <w:trHeight w:val="389" w:hRule="atLeast"/>
        </w:trPr>
        <w:tc>
          <w:tcPr>
            <w:tcW w:w="45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единый сельскохозяйственный налог</w:t>
            </w:r>
          </w:p>
        </w:tc>
        <w:tc>
          <w:tcPr>
            <w:tcW w:w="12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</w:tcPr>
          <w:p>
            <w:pPr>
              <w:pStyle w:val="Normal"/>
              <w:spacing w:before="0" w:after="20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210,0</w:t>
            </w:r>
          </w:p>
        </w:tc>
        <w:tc>
          <w:tcPr>
            <w:tcW w:w="12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-29,5</w:t>
            </w:r>
          </w:p>
        </w:tc>
        <w:tc>
          <w:tcPr>
            <w:tcW w:w="10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14,7</w:t>
            </w:r>
          </w:p>
        </w:tc>
        <w:tc>
          <w:tcPr>
            <w:tcW w:w="10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15,0</w:t>
            </w:r>
          </w:p>
        </w:tc>
        <w:tc>
          <w:tcPr>
            <w:tcW w:w="1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15,3</w:t>
            </w:r>
          </w:p>
        </w:tc>
      </w:tr>
      <w:tr>
        <w:trPr>
          <w:trHeight w:val="240" w:hRule="atLeast"/>
        </w:trPr>
        <w:tc>
          <w:tcPr>
            <w:tcW w:w="45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налог на имущество физических лиц</w:t>
            </w:r>
          </w:p>
        </w:tc>
        <w:tc>
          <w:tcPr>
            <w:tcW w:w="12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134,8</w:t>
            </w:r>
          </w:p>
        </w:tc>
        <w:tc>
          <w:tcPr>
            <w:tcW w:w="12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120,0</w:t>
            </w:r>
          </w:p>
        </w:tc>
        <w:tc>
          <w:tcPr>
            <w:tcW w:w="10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352,1</w:t>
            </w:r>
          </w:p>
        </w:tc>
        <w:tc>
          <w:tcPr>
            <w:tcW w:w="10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352,1</w:t>
            </w:r>
          </w:p>
        </w:tc>
        <w:tc>
          <w:tcPr>
            <w:tcW w:w="1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352,1</w:t>
            </w:r>
          </w:p>
        </w:tc>
      </w:tr>
      <w:tr>
        <w:trPr>
          <w:trHeight w:val="240" w:hRule="atLeast"/>
        </w:trPr>
        <w:tc>
          <w:tcPr>
            <w:tcW w:w="45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земельный налог</w:t>
            </w:r>
          </w:p>
        </w:tc>
        <w:tc>
          <w:tcPr>
            <w:tcW w:w="12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1641,9</w:t>
            </w:r>
          </w:p>
        </w:tc>
        <w:tc>
          <w:tcPr>
            <w:tcW w:w="12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1012,0</w:t>
            </w:r>
          </w:p>
        </w:tc>
        <w:tc>
          <w:tcPr>
            <w:tcW w:w="10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1227,7</w:t>
            </w:r>
          </w:p>
        </w:tc>
        <w:tc>
          <w:tcPr>
            <w:tcW w:w="10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1227,7</w:t>
            </w:r>
          </w:p>
        </w:tc>
        <w:tc>
          <w:tcPr>
            <w:tcW w:w="1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1227,7</w:t>
            </w:r>
          </w:p>
        </w:tc>
      </w:tr>
      <w:tr>
        <w:trPr>
          <w:trHeight w:val="240" w:hRule="atLeast"/>
        </w:trPr>
        <w:tc>
          <w:tcPr>
            <w:tcW w:w="45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Неналоговые доходы всего:</w:t>
            </w:r>
          </w:p>
        </w:tc>
        <w:tc>
          <w:tcPr>
            <w:tcW w:w="12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170,5</w:t>
            </w:r>
          </w:p>
        </w:tc>
        <w:tc>
          <w:tcPr>
            <w:tcW w:w="12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170,2</w:t>
            </w:r>
          </w:p>
        </w:tc>
        <w:tc>
          <w:tcPr>
            <w:tcW w:w="10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r>
          </w:p>
        </w:tc>
        <w:tc>
          <w:tcPr>
            <w:tcW w:w="10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r>
          </w:p>
        </w:tc>
        <w:tc>
          <w:tcPr>
            <w:tcW w:w="1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r>
          </w:p>
        </w:tc>
      </w:tr>
      <w:tr>
        <w:trPr>
          <w:trHeight w:val="240" w:hRule="atLeast"/>
        </w:trPr>
        <w:tc>
          <w:tcPr>
            <w:tcW w:w="45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12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r>
          </w:p>
        </w:tc>
        <w:tc>
          <w:tcPr>
            <w:tcW w:w="12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r>
          </w:p>
        </w:tc>
        <w:tc>
          <w:tcPr>
            <w:tcW w:w="10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r>
          </w:p>
        </w:tc>
        <w:tc>
          <w:tcPr>
            <w:tcW w:w="10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r>
          </w:p>
        </w:tc>
        <w:tc>
          <w:tcPr>
            <w:tcW w:w="1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r>
          </w:p>
        </w:tc>
      </w:tr>
      <w:tr>
        <w:trPr>
          <w:trHeight w:val="240" w:hRule="atLeast"/>
        </w:trPr>
        <w:tc>
          <w:tcPr>
            <w:tcW w:w="45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арендная плата за земли</w:t>
            </w:r>
          </w:p>
        </w:tc>
        <w:tc>
          <w:tcPr>
            <w:tcW w:w="12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169,5</w:t>
            </w:r>
          </w:p>
        </w:tc>
        <w:tc>
          <w:tcPr>
            <w:tcW w:w="12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169,2</w:t>
            </w:r>
          </w:p>
        </w:tc>
        <w:tc>
          <w:tcPr>
            <w:tcW w:w="10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r>
          </w:p>
        </w:tc>
        <w:tc>
          <w:tcPr>
            <w:tcW w:w="10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r>
          </w:p>
        </w:tc>
        <w:tc>
          <w:tcPr>
            <w:tcW w:w="1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r>
          </w:p>
        </w:tc>
      </w:tr>
      <w:tr>
        <w:trPr>
          <w:trHeight w:val="240" w:hRule="atLeast"/>
        </w:trPr>
        <w:tc>
          <w:tcPr>
            <w:tcW w:w="45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штрафы, санкции и возмещение ущерба</w:t>
            </w:r>
          </w:p>
        </w:tc>
        <w:tc>
          <w:tcPr>
            <w:tcW w:w="12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1,0</w:t>
            </w:r>
          </w:p>
        </w:tc>
        <w:tc>
          <w:tcPr>
            <w:tcW w:w="12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1,0</w:t>
            </w:r>
          </w:p>
        </w:tc>
        <w:tc>
          <w:tcPr>
            <w:tcW w:w="10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r>
          </w:p>
        </w:tc>
        <w:tc>
          <w:tcPr>
            <w:tcW w:w="10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r>
          </w:p>
        </w:tc>
        <w:tc>
          <w:tcPr>
            <w:tcW w:w="1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r>
          </w:p>
        </w:tc>
      </w:tr>
      <w:tr>
        <w:trPr>
          <w:trHeight w:val="240" w:hRule="atLeast"/>
        </w:trPr>
        <w:tc>
          <w:tcPr>
            <w:tcW w:w="45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Безвозмездные поступления всего:</w:t>
            </w:r>
          </w:p>
        </w:tc>
        <w:tc>
          <w:tcPr>
            <w:tcW w:w="12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4992,4</w:t>
            </w:r>
          </w:p>
        </w:tc>
        <w:tc>
          <w:tcPr>
            <w:tcW w:w="12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5917,7</w:t>
            </w:r>
          </w:p>
        </w:tc>
        <w:tc>
          <w:tcPr>
            <w:tcW w:w="10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4982,9</w:t>
            </w:r>
          </w:p>
        </w:tc>
        <w:tc>
          <w:tcPr>
            <w:tcW w:w="10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483,0</w:t>
            </w:r>
          </w:p>
        </w:tc>
        <w:tc>
          <w:tcPr>
            <w:tcW w:w="1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522,1</w:t>
            </w:r>
          </w:p>
        </w:tc>
      </w:tr>
      <w:tr>
        <w:trPr>
          <w:trHeight w:val="240" w:hRule="atLeast"/>
        </w:trPr>
        <w:tc>
          <w:tcPr>
            <w:tcW w:w="45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12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r>
          </w:p>
        </w:tc>
        <w:tc>
          <w:tcPr>
            <w:tcW w:w="12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r>
          </w:p>
        </w:tc>
        <w:tc>
          <w:tcPr>
            <w:tcW w:w="10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r>
          </w:p>
        </w:tc>
        <w:tc>
          <w:tcPr>
            <w:tcW w:w="10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r>
          </w:p>
        </w:tc>
        <w:tc>
          <w:tcPr>
            <w:tcW w:w="1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r>
          </w:p>
        </w:tc>
      </w:tr>
      <w:tr>
        <w:trPr>
          <w:trHeight w:val="322" w:hRule="atLeast"/>
        </w:trPr>
        <w:tc>
          <w:tcPr>
            <w:tcW w:w="45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дотации </w:t>
            </w:r>
          </w:p>
        </w:tc>
        <w:tc>
          <w:tcPr>
            <w:tcW w:w="1294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A"/>
              <w:insideH w:val="single" w:sz="4" w:space="0" w:color="000001"/>
              <w:insideV w:val="single" w:sz="4" w:space="0" w:color="00000A"/>
            </w:tcBorders>
            <w:shd w:color="auto" w:fill="auto" w:val="clear"/>
            <w:tcMar>
              <w:left w:w="98" w:type="dxa"/>
            </w:tcMar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81,8</w:t>
            </w:r>
          </w:p>
        </w:tc>
        <w:tc>
          <w:tcPr>
            <w:tcW w:w="1230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A"/>
              <w:insideH w:val="single" w:sz="4" w:space="0" w:color="000001"/>
              <w:insideV w:val="single" w:sz="4" w:space="0" w:color="00000A"/>
            </w:tcBorders>
            <w:shd w:color="auto" w:fill="auto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89,6</w:t>
            </w:r>
          </w:p>
        </w:tc>
        <w:tc>
          <w:tcPr>
            <w:tcW w:w="1044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A"/>
              <w:insideH w:val="single" w:sz="4" w:space="0" w:color="000001"/>
              <w:insideV w:val="single" w:sz="4" w:space="0" w:color="00000A"/>
            </w:tcBorders>
            <w:shd w:color="auto" w:fill="auto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93,9</w:t>
            </w:r>
          </w:p>
        </w:tc>
        <w:tc>
          <w:tcPr>
            <w:tcW w:w="1042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A"/>
              <w:insideH w:val="single" w:sz="4" w:space="0" w:color="000001"/>
              <w:insideV w:val="single" w:sz="4" w:space="0" w:color="00000A"/>
            </w:tcBorders>
            <w:shd w:fill="auto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99,5</w:t>
            </w:r>
          </w:p>
        </w:tc>
        <w:tc>
          <w:tcPr>
            <w:tcW w:w="1041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A"/>
              <w:insideH w:val="single" w:sz="4" w:space="0" w:color="000001"/>
              <w:insideV w:val="single" w:sz="4" w:space="0" w:color="00000A"/>
            </w:tcBorders>
            <w:shd w:fill="auto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103,3</w:t>
            </w:r>
          </w:p>
        </w:tc>
      </w:tr>
      <w:tr>
        <w:trPr>
          <w:trHeight w:val="322" w:hRule="atLeast"/>
        </w:trPr>
        <w:tc>
          <w:tcPr>
            <w:tcW w:w="45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субсидии</w:t>
            </w:r>
          </w:p>
        </w:tc>
        <w:tc>
          <w:tcPr>
            <w:tcW w:w="1294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A"/>
              <w:insideH w:val="single" w:sz="4" w:space="0" w:color="000001"/>
              <w:insideV w:val="single" w:sz="4" w:space="0" w:color="00000A"/>
            </w:tcBorders>
            <w:shd w:color="auto" w:fill="auto" w:val="clear"/>
            <w:tcMar>
              <w:left w:w="98" w:type="dxa"/>
            </w:tcMar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4647,0</w:t>
            </w:r>
          </w:p>
        </w:tc>
        <w:tc>
          <w:tcPr>
            <w:tcW w:w="1230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A"/>
              <w:insideH w:val="single" w:sz="4" w:space="0" w:color="000001"/>
              <w:insideV w:val="single" w:sz="4" w:space="0" w:color="00000A"/>
            </w:tcBorders>
            <w:shd w:color="auto" w:fill="auto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4605,0</w:t>
            </w:r>
          </w:p>
        </w:tc>
        <w:tc>
          <w:tcPr>
            <w:tcW w:w="1044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A"/>
              <w:insideH w:val="single" w:sz="4" w:space="0" w:color="000001"/>
              <w:insideV w:val="single" w:sz="4" w:space="0" w:color="00000A"/>
            </w:tcBorders>
            <w:shd w:color="auto" w:fill="auto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4542,0</w:t>
            </w:r>
          </w:p>
        </w:tc>
        <w:tc>
          <w:tcPr>
            <w:tcW w:w="1042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A"/>
              <w:insideH w:val="single" w:sz="4" w:space="0" w:color="000001"/>
              <w:insideV w:val="single" w:sz="4" w:space="0" w:color="00000A"/>
            </w:tcBorders>
            <w:shd w:fill="auto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r>
          </w:p>
        </w:tc>
        <w:tc>
          <w:tcPr>
            <w:tcW w:w="1041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A"/>
              <w:insideH w:val="single" w:sz="4" w:space="0" w:color="000001"/>
              <w:insideV w:val="single" w:sz="4" w:space="0" w:color="00000A"/>
            </w:tcBorders>
            <w:shd w:fill="auto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r>
          </w:p>
        </w:tc>
      </w:tr>
      <w:tr>
        <w:trPr>
          <w:trHeight w:val="322" w:hRule="atLeast"/>
        </w:trPr>
        <w:tc>
          <w:tcPr>
            <w:tcW w:w="45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субвенции</w:t>
            </w:r>
          </w:p>
        </w:tc>
        <w:tc>
          <w:tcPr>
            <w:tcW w:w="12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263,6</w:t>
            </w:r>
          </w:p>
        </w:tc>
        <w:tc>
          <w:tcPr>
            <w:tcW w:w="12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288,1</w:t>
            </w:r>
          </w:p>
        </w:tc>
        <w:tc>
          <w:tcPr>
            <w:tcW w:w="10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347,0</w:t>
            </w:r>
          </w:p>
        </w:tc>
        <w:tc>
          <w:tcPr>
            <w:tcW w:w="10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383,5</w:t>
            </w:r>
          </w:p>
        </w:tc>
        <w:tc>
          <w:tcPr>
            <w:tcW w:w="1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418,8</w:t>
            </w:r>
          </w:p>
        </w:tc>
      </w:tr>
      <w:tr>
        <w:trPr>
          <w:trHeight w:val="240" w:hRule="atLeast"/>
        </w:trPr>
        <w:tc>
          <w:tcPr>
            <w:tcW w:w="45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Иные межбюджетные трансферты</w:t>
            </w:r>
          </w:p>
        </w:tc>
        <w:tc>
          <w:tcPr>
            <w:tcW w:w="12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12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935,0</w:t>
            </w:r>
          </w:p>
        </w:tc>
        <w:tc>
          <w:tcPr>
            <w:tcW w:w="10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</w:r>
          </w:p>
        </w:tc>
        <w:tc>
          <w:tcPr>
            <w:tcW w:w="10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</w:r>
          </w:p>
        </w:tc>
        <w:tc>
          <w:tcPr>
            <w:tcW w:w="1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</w:r>
          </w:p>
        </w:tc>
      </w:tr>
      <w:tr>
        <w:trPr>
          <w:trHeight w:val="240" w:hRule="atLeast"/>
        </w:trPr>
        <w:tc>
          <w:tcPr>
            <w:tcW w:w="45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Итого доходов:</w:t>
            </w:r>
          </w:p>
        </w:tc>
        <w:tc>
          <w:tcPr>
            <w:tcW w:w="12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9536,8</w:t>
            </w:r>
          </w:p>
        </w:tc>
        <w:tc>
          <w:tcPr>
            <w:tcW w:w="12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9338,3</w:t>
            </w:r>
          </w:p>
        </w:tc>
        <w:tc>
          <w:tcPr>
            <w:tcW w:w="10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8923,7</w:t>
            </w:r>
          </w:p>
        </w:tc>
        <w:tc>
          <w:tcPr>
            <w:tcW w:w="10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4458,9</w:t>
            </w:r>
          </w:p>
        </w:tc>
        <w:tc>
          <w:tcPr>
            <w:tcW w:w="1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4621,3</w:t>
            </w:r>
          </w:p>
        </w:tc>
      </w:tr>
    </w:tbl>
    <w:p>
      <w:pPr>
        <w:pStyle w:val="Normal"/>
        <w:tabs>
          <w:tab w:val="left" w:pos="4020" w:leader="none"/>
          <w:tab w:val="center" w:pos="4677" w:leader="none"/>
        </w:tabs>
        <w:spacing w:lineRule="auto" w:line="2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tabs>
          <w:tab w:val="left" w:pos="4020" w:leader="none"/>
          <w:tab w:val="center" w:pos="4677" w:leader="none"/>
        </w:tabs>
        <w:spacing w:lineRule="auto" w:line="2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tabs>
          <w:tab w:val="left" w:pos="4020" w:leader="none"/>
          <w:tab w:val="center" w:pos="4677" w:leader="none"/>
        </w:tabs>
        <w:spacing w:lineRule="auto" w:line="2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tabs>
          <w:tab w:val="left" w:pos="4020" w:leader="none"/>
          <w:tab w:val="center" w:pos="4677" w:leader="none"/>
        </w:tabs>
        <w:spacing w:lineRule="auto" w:line="240"/>
        <w:rPr>
          <w:rFonts w:ascii="Times New Roman" w:hAnsi="Times New Roman"/>
          <w:sz w:val="28"/>
          <w:szCs w:val="28"/>
        </w:rPr>
      </w:pPr>
      <w:r>
        <w:rPr/>
        <w:drawing>
          <wp:inline distT="0" distB="0" distL="0" distR="0">
            <wp:extent cx="6660515" cy="2118995"/>
            <wp:effectExtent l="0" t="0" r="0" b="0"/>
            <wp:docPr id="21" name="Рисунок 1" descr="https://opiqkz.blob.core.windows.net/kitcontent/e5e880f2-4f61-4e40-b299-5dc1a1d54c6c/4b6a57cd-280d-484f-a4eb-83328837b684/235ea561-e19a-44c7-a5fa-7677834c3d0f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1" descr="https://opiqkz.blob.core.windows.net/kitcontent/e5e880f2-4f61-4e40-b299-5dc1a1d54c6c/4b6a57cd-280d-484f-a4eb-83328837b684/235ea561-e19a-44c7-a5fa-7677834c3d0f_l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211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left" w:pos="4020" w:leader="none"/>
          <w:tab w:val="center" w:pos="4677" w:leader="none"/>
        </w:tabs>
        <w:spacing w:lineRule="auto" w:line="2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tabs>
          <w:tab w:val="left" w:pos="4020" w:leader="none"/>
          <w:tab w:val="center" w:pos="4677" w:leader="none"/>
        </w:tabs>
        <w:spacing w:lineRule="auto" w:line="2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sz w:val="32"/>
          <w:szCs w:val="32"/>
        </w:rPr>
      </w:pPr>
      <w:r>
        <w:rPr/>
        <w:drawing>
          <wp:inline distT="0" distB="0" distL="0" distR="0">
            <wp:extent cx="6362700" cy="4211955"/>
            <wp:effectExtent l="0" t="0" r="0" b="0"/>
            <wp:docPr id="22" name="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Доходы бюджета Знаменского муниципального образования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 расчете на 1 жителя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( численность населения Знаменского муниципального образования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на 01.01.2023г. 1514 человек) </w:t>
      </w:r>
    </w:p>
    <w:p>
      <w:pPr>
        <w:pStyle w:val="Normal"/>
        <w:spacing w:lineRule="auto" w:line="240" w:before="0" w:after="0"/>
        <w:ind w:left="8496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руб.</w:t>
      </w:r>
    </w:p>
    <w:tbl>
      <w:tblPr>
        <w:tblW w:w="10348" w:type="dxa"/>
        <w:jc w:val="left"/>
        <w:tblInd w:w="103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0" w:type="dxa"/>
          <w:left w:w="103" w:type="dxa"/>
          <w:bottom w:w="0" w:type="dxa"/>
          <w:right w:w="108" w:type="dxa"/>
        </w:tblCellMar>
        <w:tblLook w:val="00a0"/>
      </w:tblPr>
      <w:tblGrid>
        <w:gridCol w:w="3826"/>
        <w:gridCol w:w="1275"/>
        <w:gridCol w:w="1310"/>
        <w:gridCol w:w="1384"/>
        <w:gridCol w:w="1275"/>
        <w:gridCol w:w="1277"/>
      </w:tblGrid>
      <w:tr>
        <w:trPr>
          <w:trHeight w:val="335" w:hRule="atLeast"/>
        </w:trPr>
        <w:tc>
          <w:tcPr>
            <w:tcW w:w="3826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</w:tcPr>
          <w:p>
            <w:pPr>
              <w:pStyle w:val="Normal"/>
              <w:tabs>
                <w:tab w:val="left" w:pos="4020" w:leader="none"/>
                <w:tab w:val="center" w:pos="4677" w:leader="none"/>
              </w:tabs>
              <w:spacing w:lineRule="auto" w:line="240" w:before="0" w:after="200"/>
              <w:jc w:val="center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Наименование доходов</w:t>
            </w:r>
          </w:p>
        </w:tc>
        <w:tc>
          <w:tcPr>
            <w:tcW w:w="1275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Calibri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Отчет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Calibri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2022 год</w:t>
            </w:r>
          </w:p>
        </w:tc>
        <w:tc>
          <w:tcPr>
            <w:tcW w:w="1310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Calibri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Оценка 2023 год</w:t>
            </w:r>
          </w:p>
        </w:tc>
        <w:tc>
          <w:tcPr>
            <w:tcW w:w="393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План</w:t>
            </w:r>
          </w:p>
        </w:tc>
      </w:tr>
      <w:tr>
        <w:trPr>
          <w:trHeight w:val="393" w:hRule="atLeast"/>
        </w:trPr>
        <w:tc>
          <w:tcPr>
            <w:tcW w:w="3826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3" w:type="dxa"/>
            </w:tcMar>
          </w:tcPr>
          <w:p>
            <w:pPr>
              <w:pStyle w:val="Normal"/>
              <w:tabs>
                <w:tab w:val="left" w:pos="4020" w:leader="none"/>
                <w:tab w:val="center" w:pos="4677" w:leader="none"/>
              </w:tabs>
              <w:spacing w:lineRule="auto" w:line="240" w:before="0" w:after="20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1275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1310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13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2024 год</w:t>
            </w: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2025 год</w:t>
            </w:r>
          </w:p>
        </w:tc>
        <w:tc>
          <w:tcPr>
            <w:tcW w:w="1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2026 год</w:t>
            </w:r>
          </w:p>
        </w:tc>
      </w:tr>
      <w:tr>
        <w:trPr>
          <w:trHeight w:val="437" w:hRule="exact"/>
        </w:trPr>
        <w:tc>
          <w:tcPr>
            <w:tcW w:w="38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</w:tcPr>
          <w:p>
            <w:pPr>
              <w:pStyle w:val="Normal"/>
              <w:tabs>
                <w:tab w:val="left" w:pos="4020" w:leader="none"/>
                <w:tab w:val="center" w:pos="4677" w:leader="none"/>
              </w:tabs>
              <w:spacing w:lineRule="auto" w:line="240" w:before="0" w:after="0"/>
              <w:rPr>
                <w:rFonts w:ascii="Times New Roman" w:hAnsi="Times New Roman"/>
                <w:b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Доходы всего, в том числе:</w:t>
            </w: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6299,0</w:t>
            </w:r>
          </w:p>
        </w:tc>
        <w:tc>
          <w:tcPr>
            <w:tcW w:w="13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4020" w:leader="none"/>
                <w:tab w:val="center" w:pos="4677" w:leader="none"/>
              </w:tabs>
              <w:spacing w:lineRule="auto" w:line="240" w:before="0" w:after="200"/>
              <w:jc w:val="right"/>
              <w:rPr>
                <w:rFonts w:ascii="Times New Roman" w:hAnsi="Times New Roman"/>
                <w:b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6168,0</w:t>
            </w:r>
          </w:p>
        </w:tc>
        <w:tc>
          <w:tcPr>
            <w:tcW w:w="13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4020" w:leader="none"/>
                <w:tab w:val="center" w:pos="4677" w:leader="none"/>
              </w:tabs>
              <w:spacing w:lineRule="auto" w:line="240" w:before="0" w:after="200"/>
              <w:jc w:val="right"/>
              <w:rPr>
                <w:rFonts w:ascii="Times New Roman" w:hAnsi="Times New Roman"/>
                <w:b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5894,0</w:t>
            </w: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4020" w:leader="none"/>
                <w:tab w:val="center" w:pos="4677" w:leader="none"/>
              </w:tabs>
              <w:spacing w:lineRule="auto" w:line="240" w:before="0" w:after="200"/>
              <w:jc w:val="right"/>
              <w:rPr>
                <w:rFonts w:ascii="Times New Roman" w:hAnsi="Times New Roman"/>
                <w:b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2945,0</w:t>
            </w:r>
          </w:p>
        </w:tc>
        <w:tc>
          <w:tcPr>
            <w:tcW w:w="1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4020" w:leader="none"/>
                <w:tab w:val="center" w:pos="4677" w:leader="none"/>
              </w:tabs>
              <w:spacing w:lineRule="auto" w:line="240" w:before="0" w:after="200"/>
              <w:jc w:val="right"/>
              <w:rPr>
                <w:rFonts w:ascii="Times New Roman" w:hAnsi="Times New Roman"/>
                <w:b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3052,0</w:t>
            </w:r>
          </w:p>
        </w:tc>
      </w:tr>
      <w:tr>
        <w:trPr>
          <w:trHeight w:val="679" w:hRule="exact"/>
        </w:trPr>
        <w:tc>
          <w:tcPr>
            <w:tcW w:w="38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</w:tcPr>
          <w:p>
            <w:pPr>
              <w:pStyle w:val="Normal"/>
              <w:tabs>
                <w:tab w:val="left" w:pos="4020" w:leader="none"/>
                <w:tab w:val="center" w:pos="4677" w:leader="none"/>
              </w:tabs>
              <w:spacing w:lineRule="auto" w:line="240" w:before="0" w:after="20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налоговые  и неналоговые доходы</w:t>
            </w: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3002,0</w:t>
            </w:r>
          </w:p>
        </w:tc>
        <w:tc>
          <w:tcPr>
            <w:tcW w:w="13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4020" w:leader="none"/>
                <w:tab w:val="center" w:pos="4677" w:leader="none"/>
              </w:tabs>
              <w:spacing w:lineRule="auto" w:line="240" w:before="0" w:after="20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2259,0</w:t>
            </w:r>
          </w:p>
        </w:tc>
        <w:tc>
          <w:tcPr>
            <w:tcW w:w="13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4020" w:leader="none"/>
                <w:tab w:val="center" w:pos="4677" w:leader="none"/>
              </w:tabs>
              <w:spacing w:lineRule="auto" w:line="240" w:before="0" w:after="20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2603,0</w:t>
            </w: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4020" w:leader="none"/>
                <w:tab w:val="center" w:pos="4677" w:leader="none"/>
              </w:tabs>
              <w:spacing w:lineRule="auto" w:line="240" w:before="0" w:after="20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2626,0</w:t>
            </w:r>
          </w:p>
        </w:tc>
        <w:tc>
          <w:tcPr>
            <w:tcW w:w="1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4020" w:leader="none"/>
                <w:tab w:val="center" w:pos="4677" w:leader="none"/>
              </w:tabs>
              <w:spacing w:lineRule="auto" w:line="240" w:before="0" w:after="20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2707,0</w:t>
            </w:r>
          </w:p>
        </w:tc>
      </w:tr>
      <w:tr>
        <w:trPr>
          <w:trHeight w:val="422" w:hRule="exact"/>
        </w:trPr>
        <w:tc>
          <w:tcPr>
            <w:tcW w:w="38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</w:tcPr>
          <w:p>
            <w:pPr>
              <w:pStyle w:val="Normal"/>
              <w:tabs>
                <w:tab w:val="left" w:pos="4020" w:leader="none"/>
                <w:tab w:val="center" w:pos="4677" w:leader="none"/>
              </w:tabs>
              <w:spacing w:lineRule="auto" w:line="240" w:before="0" w:after="20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безвозмездные поступления</w:t>
            </w: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3297,0</w:t>
            </w:r>
          </w:p>
        </w:tc>
        <w:tc>
          <w:tcPr>
            <w:tcW w:w="13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4020" w:leader="none"/>
                <w:tab w:val="center" w:pos="4677" w:leader="none"/>
              </w:tabs>
              <w:spacing w:lineRule="auto" w:line="240" w:before="0" w:after="20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3909,0</w:t>
            </w:r>
          </w:p>
        </w:tc>
        <w:tc>
          <w:tcPr>
            <w:tcW w:w="13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4020" w:leader="none"/>
                <w:tab w:val="center" w:pos="4677" w:leader="none"/>
              </w:tabs>
              <w:spacing w:lineRule="auto" w:line="240" w:before="0" w:after="20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3291,0</w:t>
            </w: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4020" w:leader="none"/>
                <w:tab w:val="center" w:pos="4677" w:leader="none"/>
              </w:tabs>
              <w:spacing w:lineRule="auto" w:line="240" w:before="0" w:after="20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319,0</w:t>
            </w:r>
          </w:p>
        </w:tc>
        <w:tc>
          <w:tcPr>
            <w:tcW w:w="1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4020" w:leader="none"/>
                <w:tab w:val="center" w:pos="4677" w:leader="none"/>
              </w:tabs>
              <w:spacing w:lineRule="auto" w:line="240" w:before="0" w:after="20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345,0</w:t>
            </w:r>
          </w:p>
        </w:tc>
      </w:tr>
    </w:tbl>
    <w:p>
      <w:pPr>
        <w:pStyle w:val="Normal"/>
        <w:spacing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  <w:lang w:eastAsia="ru-RU"/>
        </w:rPr>
        <w:t xml:space="preserve">Доходная база бюджета по налоговым и неналоговым доходам сформирована на основании имеющегося доходного потенциала, с учётом показателей прогноза социально-экономического развития </w:t>
      </w:r>
      <w:r>
        <w:rPr>
          <w:rFonts w:ascii="Times New Roman" w:hAnsi="Times New Roman"/>
          <w:sz w:val="28"/>
          <w:szCs w:val="28"/>
        </w:rPr>
        <w:t>Знаменского муниципального образования на 2024 год и плановый период 2025 и 2026 годов</w:t>
      </w:r>
      <w:r>
        <w:rPr>
          <w:rFonts w:ascii="Times New Roman" w:hAnsi="Times New Roman"/>
          <w:sz w:val="28"/>
          <w:szCs w:val="28"/>
          <w:lang w:eastAsia="ru-RU"/>
        </w:rPr>
        <w:t xml:space="preserve">. </w:t>
      </w:r>
    </w:p>
    <w:p>
      <w:pPr>
        <w:pStyle w:val="Normal"/>
        <w:spacing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sz w:val="28"/>
          <w:szCs w:val="28"/>
        </w:rPr>
        <w:t>Основными бюджетообразующими доходами бюджета муниципального образования  являются налог на доходы физических лиц, земельный налог и акцизы на нефтепродукты.</w:t>
      </w:r>
    </w:p>
    <w:p>
      <w:pPr>
        <w:pStyle w:val="Normal"/>
        <w:spacing w:before="0" w:after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tabs>
          <w:tab w:val="left" w:pos="7815" w:leader="none"/>
        </w:tabs>
        <w:spacing w:lineRule="auto" w:line="24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32"/>
          <w:szCs w:val="32"/>
        </w:rPr>
        <w:t>РАСХОДЫ.</w:t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t>Расходы бюджета – выплачиваемые из бюджета денежные средства.</w:t>
      </w:r>
    </w:p>
    <w:p>
      <w:pPr>
        <w:pStyle w:val="Normal"/>
        <w:tabs>
          <w:tab w:val="left" w:pos="7815" w:leader="none"/>
        </w:tabs>
        <w:spacing w:lineRule="auto" w:line="240"/>
        <w:ind w:left="-426" w:hanging="0"/>
        <w:jc w:val="center"/>
        <w:rPr>
          <w:rFonts w:ascii="Times New Roman" w:hAnsi="Times New Roman"/>
          <w:b/>
          <w:b/>
          <w:bCs/>
          <w:sz w:val="32"/>
          <w:szCs w:val="32"/>
        </w:rPr>
      </w:pPr>
      <w:r>
        <w:rPr/>
        <w:drawing>
          <wp:inline distT="0" distB="0" distL="0" distR="0">
            <wp:extent cx="6553200" cy="4295775"/>
            <wp:effectExtent l="0" t="0" r="0" b="0"/>
            <wp:docPr id="23" name="Изображение3" descr="1455099558_slaj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Изображение3" descr="1455099558_slajd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Расходы по основным функциям бюджета муниципального образования.</w:t>
      </w:r>
    </w:p>
    <w:p>
      <w:pPr>
        <w:pStyle w:val="Normal"/>
        <w:spacing w:lineRule="auto" w:line="240"/>
        <w:ind w:left="-426" w:hanging="0"/>
        <w:jc w:val="center"/>
        <w:rPr>
          <w:rFonts w:ascii="Times New Roman" w:hAnsi="Times New Roman"/>
          <w:b/>
          <w:b/>
          <w:sz w:val="32"/>
          <w:szCs w:val="32"/>
        </w:rPr>
      </w:pPr>
      <w:r>
        <w:rPr/>
        <w:drawing>
          <wp:inline distT="0" distB="0" distL="0" distR="0">
            <wp:extent cx="6152515" cy="3695065"/>
            <wp:effectExtent l="0" t="0" r="0" b="0"/>
            <wp:docPr id="24" name="Рисунок 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5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69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Структура расходов бюджета Знаменского муниципального образования по разделам в 2022-2026 годах.</w:t>
      </w:r>
    </w:p>
    <w:p>
      <w:pPr>
        <w:pStyle w:val="Normal"/>
        <w:spacing w:lineRule="auto" w:line="24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32"/>
          <w:szCs w:val="32"/>
        </w:rPr>
        <w:tab/>
        <w:tab/>
        <w:tab/>
        <w:tab/>
        <w:tab/>
        <w:tab/>
        <w:tab/>
        <w:tab/>
        <w:tab/>
      </w:r>
      <w:r>
        <w:rPr>
          <w:rFonts w:ascii="Times New Roman" w:hAnsi="Times New Roman"/>
          <w:sz w:val="28"/>
          <w:szCs w:val="28"/>
        </w:rPr>
        <w:tab/>
        <w:tab/>
        <w:tab/>
        <w:tab/>
        <w:t>%</w:t>
      </w:r>
    </w:p>
    <w:tbl>
      <w:tblPr>
        <w:tblW w:w="11341" w:type="dxa"/>
        <w:jc w:val="left"/>
        <w:tblInd w:w="-606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0" w:type="dxa"/>
          <w:left w:w="103" w:type="dxa"/>
          <w:bottom w:w="0" w:type="dxa"/>
          <w:right w:w="108" w:type="dxa"/>
        </w:tblCellMar>
        <w:tblLook w:val="00a0"/>
      </w:tblPr>
      <w:tblGrid>
        <w:gridCol w:w="1130"/>
        <w:gridCol w:w="4328"/>
        <w:gridCol w:w="1263"/>
        <w:gridCol w:w="1273"/>
        <w:gridCol w:w="1078"/>
        <w:gridCol w:w="1134"/>
        <w:gridCol w:w="1134"/>
      </w:tblGrid>
      <w:tr>
        <w:trPr>
          <w:trHeight w:val="270" w:hRule="atLeast"/>
        </w:trPr>
        <w:tc>
          <w:tcPr>
            <w:tcW w:w="1130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4328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1263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Calibri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Отчет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Calibri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2022 г</w:t>
            </w:r>
          </w:p>
        </w:tc>
        <w:tc>
          <w:tcPr>
            <w:tcW w:w="1273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Calibri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Оценка 2023 г</w:t>
            </w:r>
          </w:p>
        </w:tc>
        <w:tc>
          <w:tcPr>
            <w:tcW w:w="334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План</w:t>
            </w:r>
          </w:p>
        </w:tc>
      </w:tr>
      <w:tr>
        <w:trPr>
          <w:trHeight w:val="684" w:hRule="atLeast"/>
        </w:trPr>
        <w:tc>
          <w:tcPr>
            <w:tcW w:w="1130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</w:r>
          </w:p>
        </w:tc>
        <w:tc>
          <w:tcPr>
            <w:tcW w:w="4328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</w:r>
          </w:p>
        </w:tc>
        <w:tc>
          <w:tcPr>
            <w:tcW w:w="1263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</w:r>
          </w:p>
        </w:tc>
        <w:tc>
          <w:tcPr>
            <w:tcW w:w="1273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</w:r>
          </w:p>
        </w:tc>
        <w:tc>
          <w:tcPr>
            <w:tcW w:w="10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2024 г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2025 г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2026 г</w:t>
            </w:r>
          </w:p>
        </w:tc>
      </w:tr>
      <w:tr>
        <w:trPr/>
        <w:tc>
          <w:tcPr>
            <w:tcW w:w="11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</w:r>
          </w:p>
        </w:tc>
        <w:tc>
          <w:tcPr>
            <w:tcW w:w="43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12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12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10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</w:tr>
      <w:tr>
        <w:trPr/>
        <w:tc>
          <w:tcPr>
            <w:tcW w:w="11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43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12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24,5</w:t>
            </w:r>
          </w:p>
        </w:tc>
        <w:tc>
          <w:tcPr>
            <w:tcW w:w="12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31,5</w:t>
            </w:r>
          </w:p>
        </w:tc>
        <w:tc>
          <w:tcPr>
            <w:tcW w:w="10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27,4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54,2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52,4</w:t>
            </w:r>
          </w:p>
        </w:tc>
      </w:tr>
      <w:tr>
        <w:trPr/>
        <w:tc>
          <w:tcPr>
            <w:tcW w:w="11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02</w:t>
            </w:r>
          </w:p>
        </w:tc>
        <w:tc>
          <w:tcPr>
            <w:tcW w:w="43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12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2,2</w:t>
            </w:r>
          </w:p>
        </w:tc>
        <w:tc>
          <w:tcPr>
            <w:tcW w:w="12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2,8</w:t>
            </w:r>
          </w:p>
        </w:tc>
        <w:tc>
          <w:tcPr>
            <w:tcW w:w="10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3,9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8,8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9,5</w:t>
            </w:r>
          </w:p>
        </w:tc>
      </w:tr>
      <w:tr>
        <w:trPr/>
        <w:tc>
          <w:tcPr>
            <w:tcW w:w="11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03</w:t>
            </w:r>
          </w:p>
        </w:tc>
        <w:tc>
          <w:tcPr>
            <w:tcW w:w="43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Национальная безопасность и правоохранительная деятельность</w:t>
            </w:r>
          </w:p>
        </w:tc>
        <w:tc>
          <w:tcPr>
            <w:tcW w:w="12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12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0,2</w:t>
            </w:r>
          </w:p>
        </w:tc>
        <w:tc>
          <w:tcPr>
            <w:tcW w:w="10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11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04</w:t>
            </w:r>
          </w:p>
        </w:tc>
        <w:tc>
          <w:tcPr>
            <w:tcW w:w="43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12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44,0</w:t>
            </w:r>
          </w:p>
        </w:tc>
        <w:tc>
          <w:tcPr>
            <w:tcW w:w="12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57,9</w:t>
            </w:r>
          </w:p>
        </w:tc>
        <w:tc>
          <w:tcPr>
            <w:tcW w:w="10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61,4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21,9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24,1</w:t>
            </w:r>
          </w:p>
        </w:tc>
      </w:tr>
      <w:tr>
        <w:trPr/>
        <w:tc>
          <w:tcPr>
            <w:tcW w:w="11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43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2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27,5</w:t>
            </w:r>
          </w:p>
        </w:tc>
        <w:tc>
          <w:tcPr>
            <w:tcW w:w="12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5,5</w:t>
            </w:r>
          </w:p>
        </w:tc>
        <w:tc>
          <w:tcPr>
            <w:tcW w:w="10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4,8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9,9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8,9</w:t>
            </w:r>
          </w:p>
        </w:tc>
      </w:tr>
      <w:tr>
        <w:trPr/>
        <w:tc>
          <w:tcPr>
            <w:tcW w:w="11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43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Культура и кинематография</w:t>
            </w:r>
          </w:p>
        </w:tc>
        <w:tc>
          <w:tcPr>
            <w:tcW w:w="12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0,2</w:t>
            </w:r>
          </w:p>
        </w:tc>
        <w:tc>
          <w:tcPr>
            <w:tcW w:w="12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0,1</w:t>
            </w:r>
          </w:p>
        </w:tc>
        <w:tc>
          <w:tcPr>
            <w:tcW w:w="10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0,2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0,1</w:t>
            </w:r>
          </w:p>
        </w:tc>
      </w:tr>
      <w:tr>
        <w:trPr/>
        <w:tc>
          <w:tcPr>
            <w:tcW w:w="11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43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12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1,7</w:t>
            </w:r>
          </w:p>
        </w:tc>
        <w:tc>
          <w:tcPr>
            <w:tcW w:w="12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2,0</w:t>
            </w:r>
          </w:p>
        </w:tc>
        <w:tc>
          <w:tcPr>
            <w:tcW w:w="10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2,5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5,0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5,0</w:t>
            </w:r>
          </w:p>
        </w:tc>
      </w:tr>
    </w:tbl>
    <w:p>
      <w:pPr>
        <w:pStyle w:val="Normal"/>
        <w:spacing w:lineRule="auto" w:line="240"/>
        <w:jc w:val="right"/>
        <w:rPr>
          <w:rFonts w:ascii="Times New Roman" w:hAnsi="Times New Roman"/>
          <w:sz w:val="32"/>
          <w:szCs w:val="32"/>
          <w:lang w:val="en-US"/>
        </w:rPr>
      </w:pPr>
      <w:r>
        <w:rPr>
          <w:rFonts w:ascii="Times New Roman" w:hAnsi="Times New Roman"/>
          <w:sz w:val="32"/>
          <w:szCs w:val="32"/>
        </w:rPr>
        <w:tab/>
      </w:r>
    </w:p>
    <w:p>
      <w:pPr>
        <w:pStyle w:val="Normal"/>
        <w:spacing w:lineRule="auto" w:line="240"/>
        <w:jc w:val="right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28"/>
          <w:szCs w:val="28"/>
        </w:rPr>
        <w:t>%</w:t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sz w:val="32"/>
          <w:szCs w:val="32"/>
        </w:rPr>
      </w:pPr>
      <w:r>
        <w:rPr/>
        <w:drawing>
          <wp:inline distT="0" distB="0" distL="0" distR="0">
            <wp:extent cx="6576060" cy="2383155"/>
            <wp:effectExtent l="0" t="0" r="0" b="0"/>
            <wp:docPr id="25" name="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>
      <w:pPr>
        <w:pStyle w:val="Normal"/>
        <w:spacing w:lineRule="auto" w:line="24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32"/>
          <w:szCs w:val="32"/>
        </w:rPr>
        <w:t>Расходы бюджета Знаменского муниципального образования по основным разделам на душу населения</w:t>
      </w:r>
    </w:p>
    <w:p>
      <w:pPr>
        <w:pStyle w:val="Normal"/>
        <w:spacing w:lineRule="auto" w:line="240"/>
        <w:jc w:val="right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руб.</w:t>
        <w:tab/>
      </w:r>
    </w:p>
    <w:tbl>
      <w:tblPr>
        <w:tblW w:w="11341" w:type="dxa"/>
        <w:jc w:val="left"/>
        <w:tblInd w:w="-606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0" w:type="dxa"/>
          <w:left w:w="103" w:type="dxa"/>
          <w:bottom w:w="0" w:type="dxa"/>
          <w:right w:w="108" w:type="dxa"/>
        </w:tblCellMar>
        <w:tblLook w:val="00a0"/>
      </w:tblPr>
      <w:tblGrid>
        <w:gridCol w:w="849"/>
        <w:gridCol w:w="4254"/>
        <w:gridCol w:w="1275"/>
        <w:gridCol w:w="1416"/>
        <w:gridCol w:w="1134"/>
        <w:gridCol w:w="1133"/>
        <w:gridCol w:w="1279"/>
      </w:tblGrid>
      <w:tr>
        <w:trPr>
          <w:trHeight w:val="324" w:hRule="atLeast"/>
        </w:trPr>
        <w:tc>
          <w:tcPr>
            <w:tcW w:w="849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4254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Показатель</w:t>
            </w:r>
          </w:p>
        </w:tc>
        <w:tc>
          <w:tcPr>
            <w:tcW w:w="1275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Calibri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Отчет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Calibri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2022 год</w:t>
            </w:r>
          </w:p>
        </w:tc>
        <w:tc>
          <w:tcPr>
            <w:tcW w:w="1416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Calibri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Оценка 2023 год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Calibri"/>
                <w:b/>
                <w:b/>
                <w:sz w:val="28"/>
                <w:szCs w:val="28"/>
              </w:rPr>
            </w:pPr>
            <w:r>
              <w:rPr>
                <w:rFonts w:cs="Calibri" w:ascii="Times New Roman" w:hAnsi="Times New Roman"/>
                <w:b/>
                <w:sz w:val="28"/>
                <w:szCs w:val="28"/>
              </w:rPr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План</w:t>
            </w:r>
          </w:p>
        </w:tc>
        <w:tc>
          <w:tcPr>
            <w:tcW w:w="12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</w:r>
          </w:p>
        </w:tc>
      </w:tr>
      <w:tr>
        <w:trPr>
          <w:trHeight w:val="636" w:hRule="atLeast"/>
        </w:trPr>
        <w:tc>
          <w:tcPr>
            <w:tcW w:w="849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</w:r>
          </w:p>
        </w:tc>
        <w:tc>
          <w:tcPr>
            <w:tcW w:w="4254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</w:r>
          </w:p>
        </w:tc>
        <w:tc>
          <w:tcPr>
            <w:tcW w:w="1275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</w:r>
          </w:p>
        </w:tc>
        <w:tc>
          <w:tcPr>
            <w:tcW w:w="1416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2024 г</w:t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2025г</w:t>
            </w:r>
          </w:p>
        </w:tc>
        <w:tc>
          <w:tcPr>
            <w:tcW w:w="12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2026г</w:t>
            </w:r>
          </w:p>
        </w:tc>
      </w:tr>
      <w:tr>
        <w:trPr/>
        <w:tc>
          <w:tcPr>
            <w:tcW w:w="8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42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Содержание работников органов местного самоуправления</w:t>
            </w: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1953,50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2130,97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1612,94</w:t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1557,2</w:t>
            </w:r>
          </w:p>
        </w:tc>
        <w:tc>
          <w:tcPr>
            <w:tcW w:w="12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1528,79</w:t>
            </w:r>
          </w:p>
        </w:tc>
      </w:tr>
      <w:tr>
        <w:trPr/>
        <w:tc>
          <w:tcPr>
            <w:tcW w:w="8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42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2182,24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371,46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285,33</w:t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285,33</w:t>
            </w:r>
          </w:p>
        </w:tc>
        <w:tc>
          <w:tcPr>
            <w:tcW w:w="12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260,23</w:t>
            </w:r>
          </w:p>
        </w:tc>
      </w:tr>
      <w:tr>
        <w:trPr/>
        <w:tc>
          <w:tcPr>
            <w:tcW w:w="8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42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14,00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3,3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3,3</w:t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3,3</w:t>
            </w:r>
          </w:p>
        </w:tc>
        <w:tc>
          <w:tcPr>
            <w:tcW w:w="12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3,3</w:t>
            </w:r>
          </w:p>
        </w:tc>
      </w:tr>
      <w:tr>
        <w:trPr/>
        <w:tc>
          <w:tcPr>
            <w:tcW w:w="8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42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139,76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146,10</w:t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146,10</w:t>
            </w:r>
          </w:p>
        </w:tc>
        <w:tc>
          <w:tcPr>
            <w:tcW w:w="12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146,10</w:t>
            </w:r>
          </w:p>
        </w:tc>
      </w:tr>
      <w:tr>
        <w:trPr/>
        <w:tc>
          <w:tcPr>
            <w:tcW w:w="8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</w:r>
          </w:p>
        </w:tc>
        <w:tc>
          <w:tcPr>
            <w:tcW w:w="42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Итого расходы местного бюджета</w:t>
            </w: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7952,23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6765,39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5894,12</w:t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2845,76</w:t>
            </w:r>
          </w:p>
        </w:tc>
        <w:tc>
          <w:tcPr>
            <w:tcW w:w="12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2916,97</w:t>
            </w:r>
          </w:p>
        </w:tc>
      </w:tr>
    </w:tbl>
    <w:p>
      <w:pPr>
        <w:pStyle w:val="Normal"/>
        <w:spacing w:lineRule="auto" w:line="2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lineRule="auto" w:line="24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руб.</w:t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sz w:val="28"/>
          <w:szCs w:val="28"/>
          <w:lang w:val="en-US"/>
        </w:rPr>
      </w:pPr>
      <w:r>
        <w:rPr/>
        <w:drawing>
          <wp:inline distT="0" distB="0" distL="0" distR="0">
            <wp:extent cx="6838315" cy="2418080"/>
            <wp:effectExtent l="0" t="0" r="0" b="0"/>
            <wp:docPr id="26" name="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>
      <w:pPr>
        <w:pStyle w:val="Normal"/>
        <w:spacing w:lineRule="auto" w:line="24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lineRule="auto" w:line="24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Расходы бюджета Знаменского муниципального образования запланированы на 2024 год в сумме 8923,7 тыс. рублей, на 2025 год в сумме </w:t>
      </w:r>
      <w:r>
        <w:rPr>
          <w:rFonts w:ascii="Times New Roman" w:hAnsi="Times New Roman"/>
          <w:sz w:val="26"/>
          <w:szCs w:val="26"/>
        </w:rPr>
        <w:t>4353,9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тыс. рублей, на 2026 год сумме 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 xml:space="preserve">4416,3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тыс. руб. Общий объем и структура расходов представлена в следующей форме:  </w:t>
      </w:r>
      <w:r>
        <w:rPr>
          <w:rFonts w:ascii="Times New Roman" w:hAnsi="Times New Roman"/>
          <w:sz w:val="28"/>
          <w:szCs w:val="28"/>
        </w:rPr>
        <w:tab/>
        <w:tab/>
        <w:tab/>
        <w:tab/>
        <w:tab/>
        <w:tab/>
        <w:tab/>
        <w:tab/>
        <w:tab/>
        <w:tab/>
      </w:r>
    </w:p>
    <w:p>
      <w:pPr>
        <w:pStyle w:val="Normal"/>
        <w:spacing w:lineRule="auto" w:line="240"/>
        <w:ind w:firstLine="708"/>
        <w:jc w:val="right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tab/>
        <w:tab/>
        <w:tab/>
        <w:tab/>
        <w:tab/>
        <w:tab/>
        <w:tab/>
        <w:tab/>
        <w:tab/>
        <w:tab/>
        <w:tab/>
        <w:tab/>
        <w:tab/>
        <w:tab/>
      </w:r>
      <w:r>
        <w:rPr>
          <w:rFonts w:ascii="Times New Roman" w:hAnsi="Times New Roman"/>
          <w:sz w:val="28"/>
          <w:szCs w:val="28"/>
        </w:rPr>
        <w:t>тыс.руб.</w:t>
      </w:r>
    </w:p>
    <w:tbl>
      <w:tblPr>
        <w:tblW w:w="5000" w:type="pct"/>
        <w:jc w:val="left"/>
        <w:tblInd w:w="-181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0" w:type="dxa"/>
          <w:left w:w="103" w:type="dxa"/>
          <w:bottom w:w="0" w:type="dxa"/>
          <w:right w:w="108" w:type="dxa"/>
        </w:tblCellMar>
        <w:tblLook w:val="01e0"/>
      </w:tblPr>
      <w:tblGrid>
        <w:gridCol w:w="3215"/>
        <w:gridCol w:w="1399"/>
        <w:gridCol w:w="1258"/>
        <w:gridCol w:w="1258"/>
        <w:gridCol w:w="979"/>
        <w:gridCol w:w="1119"/>
        <w:gridCol w:w="1117"/>
      </w:tblGrid>
      <w:tr>
        <w:trPr>
          <w:trHeight w:val="348" w:hRule="atLeast"/>
        </w:trPr>
        <w:tc>
          <w:tcPr>
            <w:tcW w:w="3215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Расходы</w:t>
            </w:r>
          </w:p>
        </w:tc>
        <w:tc>
          <w:tcPr>
            <w:tcW w:w="1399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</w:r>
          </w:p>
        </w:tc>
        <w:tc>
          <w:tcPr>
            <w:tcW w:w="1258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Отчет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2022 год</w:t>
            </w:r>
          </w:p>
        </w:tc>
        <w:tc>
          <w:tcPr>
            <w:tcW w:w="1258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Оценка 2023 год</w:t>
            </w:r>
          </w:p>
        </w:tc>
        <w:tc>
          <w:tcPr>
            <w:tcW w:w="3215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План</w:t>
            </w:r>
          </w:p>
        </w:tc>
      </w:tr>
      <w:tr>
        <w:trPr>
          <w:trHeight w:val="936" w:hRule="atLeast"/>
        </w:trPr>
        <w:tc>
          <w:tcPr>
            <w:tcW w:w="3215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</w:r>
          </w:p>
        </w:tc>
        <w:tc>
          <w:tcPr>
            <w:tcW w:w="1399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</w:r>
          </w:p>
        </w:tc>
        <w:tc>
          <w:tcPr>
            <w:tcW w:w="1258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</w:r>
          </w:p>
        </w:tc>
        <w:tc>
          <w:tcPr>
            <w:tcW w:w="1258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</w:r>
          </w:p>
        </w:tc>
        <w:tc>
          <w:tcPr>
            <w:tcW w:w="9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/>
                <w:b/>
                <w:b/>
                <w:sz w:val="28"/>
                <w:szCs w:val="28"/>
              </w:rPr>
            </w:pPr>
            <w:r>
              <w:rPr>
                <w:rFonts w:eastAsia="Calibri" w:ascii="Times New Roman" w:hAnsi="Times New Roman"/>
                <w:b/>
                <w:sz w:val="28"/>
                <w:szCs w:val="28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2024г</w:t>
            </w:r>
          </w:p>
        </w:tc>
        <w:tc>
          <w:tcPr>
            <w:tcW w:w="11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2025г</w:t>
            </w: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2026г</w:t>
            </w:r>
          </w:p>
        </w:tc>
      </w:tr>
      <w:tr>
        <w:trPr>
          <w:trHeight w:val="1046" w:hRule="atLeast"/>
        </w:trPr>
        <w:tc>
          <w:tcPr>
            <w:tcW w:w="32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Общегосударственные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вопросы</w:t>
            </w:r>
          </w:p>
        </w:tc>
        <w:tc>
          <w:tcPr>
            <w:tcW w:w="13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sz w:val="26"/>
                <w:szCs w:val="26"/>
              </w:rPr>
            </w:pPr>
            <w:r>
              <w:rPr/>
              <w:object>
                <v:shape id="ole_rId14" style="width:51.75pt;height:39pt" o:ole="">
                  <v:imagedata r:id="rId15" o:title=""/>
                </v:shape>
                <o:OLEObject Type="Embed" ProgID="PBrush" ShapeID="ole_rId14" DrawAspect="Content" ObjectID="_142266253" r:id="rId14"/>
              </w:object>
            </w:r>
          </w:p>
        </w:tc>
        <w:tc>
          <w:tcPr>
            <w:tcW w:w="12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2998,6</w:t>
            </w:r>
          </w:p>
        </w:tc>
        <w:tc>
          <w:tcPr>
            <w:tcW w:w="12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3226,3</w:t>
            </w:r>
          </w:p>
        </w:tc>
        <w:tc>
          <w:tcPr>
            <w:tcW w:w="9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2442,0</w:t>
            </w:r>
          </w:p>
        </w:tc>
        <w:tc>
          <w:tcPr>
            <w:tcW w:w="11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2357,6</w:t>
            </w: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2314,6</w:t>
            </w:r>
          </w:p>
        </w:tc>
      </w:tr>
      <w:tr>
        <w:trPr/>
        <w:tc>
          <w:tcPr>
            <w:tcW w:w="32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Национальная оборона</w:t>
            </w:r>
          </w:p>
        </w:tc>
        <w:tc>
          <w:tcPr>
            <w:tcW w:w="13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sz w:val="26"/>
                <w:szCs w:val="26"/>
              </w:rPr>
            </w:pPr>
            <w:r>
              <w:rPr/>
              <w:object>
                <v:shape id="ole_rId16" style="width:51pt;height:41.25pt" o:ole="">
                  <v:imagedata r:id="rId17" o:title=""/>
                </v:shape>
                <o:OLEObject Type="Embed" ProgID="PBrush" ShapeID="ole_rId16" DrawAspect="Content" ObjectID="_618183027" r:id="rId16"/>
              </w:object>
            </w:r>
          </w:p>
        </w:tc>
        <w:tc>
          <w:tcPr>
            <w:tcW w:w="12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263,6</w:t>
            </w:r>
          </w:p>
        </w:tc>
        <w:tc>
          <w:tcPr>
            <w:tcW w:w="12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288,1</w:t>
            </w:r>
          </w:p>
        </w:tc>
        <w:tc>
          <w:tcPr>
            <w:tcW w:w="9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347,0</w:t>
            </w:r>
          </w:p>
        </w:tc>
        <w:tc>
          <w:tcPr>
            <w:tcW w:w="11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383,5</w:t>
            </w: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418,8</w:t>
            </w:r>
          </w:p>
        </w:tc>
      </w:tr>
      <w:tr>
        <w:trPr/>
        <w:tc>
          <w:tcPr>
            <w:tcW w:w="32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Национальная безопасность и правоохранительная деятельность</w:t>
            </w:r>
          </w:p>
        </w:tc>
        <w:tc>
          <w:tcPr>
            <w:tcW w:w="13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  <w:drawing>
                <wp:inline distT="0" distB="0" distL="0" distR="0">
                  <wp:extent cx="600075" cy="466725"/>
                  <wp:effectExtent l="0" t="0" r="0" b="0"/>
                  <wp:docPr id="27" name="Изображение4" descr="http://ifinmon.saratov.gov.ru/images/gos.programmy/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Изображение4" descr="http://ifinmon.saratov.gov.ru/images/gos.programmy/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12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20,0</w:t>
            </w:r>
          </w:p>
        </w:tc>
        <w:tc>
          <w:tcPr>
            <w:tcW w:w="9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11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32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Национальная экономика</w:t>
            </w:r>
          </w:p>
        </w:tc>
        <w:tc>
          <w:tcPr>
            <w:tcW w:w="13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sz w:val="26"/>
                <w:szCs w:val="26"/>
              </w:rPr>
            </w:pPr>
            <w:r>
              <w:rPr/>
              <w:object>
                <v:shape id="ole_rId19" style="width:47.25pt;height:43.5pt" o:ole="">
                  <v:imagedata r:id="rId20" o:title=""/>
                </v:shape>
                <o:OLEObject Type="Embed" ProgID="PBrush" ShapeID="ole_rId19" DrawAspect="Content" ObjectID="_623020372" r:id="rId19"/>
              </w:object>
            </w:r>
          </w:p>
        </w:tc>
        <w:tc>
          <w:tcPr>
            <w:tcW w:w="12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5364,0</w:t>
            </w:r>
          </w:p>
        </w:tc>
        <w:tc>
          <w:tcPr>
            <w:tcW w:w="12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5929,4</w:t>
            </w:r>
          </w:p>
        </w:tc>
        <w:tc>
          <w:tcPr>
            <w:tcW w:w="9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5476,5</w:t>
            </w:r>
          </w:p>
        </w:tc>
        <w:tc>
          <w:tcPr>
            <w:tcW w:w="11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954,6</w:t>
            </w: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1062,7</w:t>
            </w:r>
          </w:p>
        </w:tc>
      </w:tr>
      <w:tr>
        <w:trPr/>
        <w:tc>
          <w:tcPr>
            <w:tcW w:w="32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Жилищно-коммунальное хозяйство</w:t>
            </w:r>
          </w:p>
        </w:tc>
        <w:tc>
          <w:tcPr>
            <w:tcW w:w="13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sz w:val="26"/>
                <w:szCs w:val="26"/>
              </w:rPr>
            </w:pPr>
            <w:r>
              <w:rPr/>
              <w:object>
                <v:shape id="ole_rId21" style="width:45pt;height:42.75pt" o:ole="">
                  <v:imagedata r:id="rId22" o:title=""/>
                </v:shape>
                <o:OLEObject Type="Embed" ProgID="PBrush" ShapeID="ole_rId21" DrawAspect="Content" ObjectID="_512791365" r:id="rId21"/>
              </w:object>
            </w:r>
          </w:p>
        </w:tc>
        <w:tc>
          <w:tcPr>
            <w:tcW w:w="12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3349,7</w:t>
            </w:r>
          </w:p>
        </w:tc>
        <w:tc>
          <w:tcPr>
            <w:tcW w:w="12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562,4</w:t>
            </w:r>
          </w:p>
        </w:tc>
        <w:tc>
          <w:tcPr>
            <w:tcW w:w="9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432,0</w:t>
            </w:r>
          </w:p>
        </w:tc>
        <w:tc>
          <w:tcPr>
            <w:tcW w:w="11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432,0</w:t>
            </w: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394,0</w:t>
            </w:r>
          </w:p>
        </w:tc>
      </w:tr>
      <w:tr>
        <w:trPr/>
        <w:tc>
          <w:tcPr>
            <w:tcW w:w="32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Культура, кинематография</w:t>
            </w:r>
          </w:p>
        </w:tc>
        <w:tc>
          <w:tcPr>
            <w:tcW w:w="13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sz w:val="26"/>
                <w:szCs w:val="26"/>
              </w:rPr>
            </w:pPr>
            <w:r>
              <w:rPr/>
              <w:object>
                <v:shape id="ole_rId23" style="width:45.75pt;height:36.75pt" o:ole="">
                  <v:imagedata r:id="rId24" o:title=""/>
                </v:shape>
                <o:OLEObject Type="Embed" ProgID="PBrush" ShapeID="ole_rId23" DrawAspect="Content" ObjectID="_1973731139" r:id="rId23"/>
              </w:object>
            </w:r>
          </w:p>
        </w:tc>
        <w:tc>
          <w:tcPr>
            <w:tcW w:w="12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  <w:vAlign w:val="bottom"/>
          </w:tcPr>
          <w:p>
            <w:pPr>
              <w:pStyle w:val="Normal"/>
              <w:spacing w:lineRule="auto" w:line="240" w:before="0" w:after="200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21,5</w:t>
            </w:r>
          </w:p>
        </w:tc>
        <w:tc>
          <w:tcPr>
            <w:tcW w:w="12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</w:r>
          </w:p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5,0</w:t>
            </w:r>
          </w:p>
        </w:tc>
        <w:tc>
          <w:tcPr>
            <w:tcW w:w="9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</w:r>
          </w:p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5,0</w:t>
            </w:r>
          </w:p>
        </w:tc>
        <w:tc>
          <w:tcPr>
            <w:tcW w:w="11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</w:r>
          </w:p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5,0</w:t>
            </w: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</w:r>
          </w:p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5,0</w:t>
            </w:r>
          </w:p>
        </w:tc>
      </w:tr>
      <w:tr>
        <w:trPr/>
        <w:tc>
          <w:tcPr>
            <w:tcW w:w="32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Социальная политика</w:t>
            </w:r>
          </w:p>
        </w:tc>
        <w:tc>
          <w:tcPr>
            <w:tcW w:w="13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sz w:val="26"/>
                <w:szCs w:val="26"/>
              </w:rPr>
            </w:pPr>
            <w:r>
              <w:rPr/>
              <w:object>
                <v:shape id="ole_rId25" style="width:45.75pt;height:36.75pt" o:ole="">
                  <v:imagedata r:id="rId26" o:title=""/>
                </v:shape>
                <o:OLEObject Type="Embed" ProgID="PBrush" ShapeID="ole_rId25" DrawAspect="Content" ObjectID="_1905104060" r:id="rId25"/>
              </w:object>
            </w:r>
          </w:p>
        </w:tc>
        <w:tc>
          <w:tcPr>
            <w:tcW w:w="12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  <w:vAlign w:val="bottom"/>
          </w:tcPr>
          <w:p>
            <w:pPr>
              <w:pStyle w:val="Normal"/>
              <w:spacing w:lineRule="auto" w:line="240" w:before="0" w:after="200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206,8</w:t>
            </w:r>
          </w:p>
        </w:tc>
        <w:tc>
          <w:tcPr>
            <w:tcW w:w="12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</w:r>
          </w:p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211,6</w:t>
            </w:r>
          </w:p>
        </w:tc>
        <w:tc>
          <w:tcPr>
            <w:tcW w:w="9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</w:r>
          </w:p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221,2</w:t>
            </w:r>
          </w:p>
        </w:tc>
        <w:tc>
          <w:tcPr>
            <w:tcW w:w="11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</w:r>
          </w:p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221,2</w:t>
            </w: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</w:r>
          </w:p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221,2</w:t>
            </w:r>
          </w:p>
        </w:tc>
      </w:tr>
      <w:tr>
        <w:trPr/>
        <w:tc>
          <w:tcPr>
            <w:tcW w:w="32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ИТОГО расходов:</w:t>
            </w:r>
          </w:p>
        </w:tc>
        <w:tc>
          <w:tcPr>
            <w:tcW w:w="13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b/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</w:r>
          </w:p>
        </w:tc>
        <w:tc>
          <w:tcPr>
            <w:tcW w:w="12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12206,7</w:t>
            </w:r>
          </w:p>
        </w:tc>
        <w:tc>
          <w:tcPr>
            <w:tcW w:w="12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10242,8</w:t>
            </w:r>
          </w:p>
        </w:tc>
        <w:tc>
          <w:tcPr>
            <w:tcW w:w="9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8923,7</w:t>
            </w:r>
          </w:p>
        </w:tc>
        <w:tc>
          <w:tcPr>
            <w:tcW w:w="11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4353,9</w:t>
            </w: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4416,3</w:t>
            </w:r>
          </w:p>
        </w:tc>
      </w:tr>
    </w:tbl>
    <w:p>
      <w:pPr>
        <w:pStyle w:val="NormalWeb"/>
        <w:spacing w:beforeAutospacing="0" w:before="0" w:afterAutospacing="0" w:after="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2"/>
        <w:spacing w:lineRule="auto" w:line="240" w:before="0" w:after="0"/>
        <w:jc w:val="center"/>
        <w:rPr>
          <w:rFonts w:ascii="Times New Roman" w:hAnsi="Times New Roman" w:cs="Times New Roman"/>
          <w:b/>
          <w:b/>
          <w:bCs/>
          <w:sz w:val="28"/>
          <w:szCs w:val="28"/>
          <w:lang w:val="ru-RU"/>
        </w:rPr>
      </w:pPr>
      <w:r>
        <w:rPr>
          <w:rFonts w:cs="Times New Roman" w:ascii="Times New Roman" w:hAnsi="Times New Roman"/>
          <w:b/>
          <w:bCs/>
          <w:sz w:val="28"/>
          <w:szCs w:val="28"/>
          <w:lang w:val="ru-RU"/>
        </w:rPr>
      </w:r>
    </w:p>
    <w:p>
      <w:pPr>
        <w:pStyle w:val="BodyText2"/>
        <w:spacing w:lineRule="auto" w:line="240" w:before="0" w:after="0"/>
        <w:jc w:val="center"/>
        <w:rPr>
          <w:rFonts w:ascii="Times New Roman" w:hAnsi="Times New Roman" w:cs="Times New Roman"/>
          <w:b/>
          <w:b/>
          <w:bCs/>
          <w:sz w:val="28"/>
          <w:szCs w:val="28"/>
          <w:lang w:val="ru-RU"/>
        </w:rPr>
      </w:pPr>
      <w:r>
        <w:rPr>
          <w:rFonts w:cs="Times New Roman" w:ascii="Times New Roman" w:hAnsi="Times New Roman"/>
          <w:b/>
          <w:bCs/>
          <w:sz w:val="28"/>
          <w:szCs w:val="28"/>
          <w:lang w:val="ru-RU"/>
        </w:rPr>
      </w:r>
    </w:p>
    <w:p>
      <w:pPr>
        <w:pStyle w:val="BodyText2"/>
        <w:spacing w:lineRule="auto" w:line="240" w:before="0" w:after="0"/>
        <w:ind w:left="-851" w:firstLine="142"/>
        <w:jc w:val="center"/>
        <w:rPr>
          <w:rFonts w:ascii="Times New Roman" w:hAnsi="Times New Roman" w:cs="Times New Roman"/>
          <w:b/>
          <w:b/>
          <w:bCs/>
          <w:sz w:val="28"/>
          <w:szCs w:val="28"/>
          <w:lang w:val="ru-RU"/>
        </w:rPr>
      </w:pPr>
      <w:r>
        <w:rPr>
          <w:rFonts w:cs="Times New Roman" w:ascii="Times New Roman" w:hAnsi="Times New Roman"/>
          <w:b/>
          <w:bCs/>
          <w:sz w:val="28"/>
          <w:szCs w:val="28"/>
          <w:lang w:val="ru-RU"/>
        </w:rPr>
        <w:t>Бюджетные ассигнования бюджета Знаменского муниципального</w:t>
      </w:r>
    </w:p>
    <w:p>
      <w:pPr>
        <w:pStyle w:val="BodyText2"/>
        <w:spacing w:lineRule="auto" w:line="240" w:before="0" w:after="0"/>
        <w:jc w:val="center"/>
        <w:rPr>
          <w:rFonts w:ascii="Times New Roman" w:hAnsi="Times New Roman" w:cs="Times New Roman"/>
          <w:b/>
          <w:b/>
          <w:bCs/>
          <w:sz w:val="28"/>
          <w:szCs w:val="28"/>
          <w:lang w:val="ru-RU"/>
        </w:rPr>
      </w:pPr>
      <w:r>
        <w:rPr>
          <w:rFonts w:cs="Times New Roman" w:ascii="Times New Roman" w:hAnsi="Times New Roman"/>
          <w:b/>
          <w:bCs/>
          <w:sz w:val="28"/>
          <w:szCs w:val="28"/>
          <w:lang w:val="ru-RU"/>
        </w:rPr>
        <w:t xml:space="preserve">образования по муниципальным программам </w:t>
      </w:r>
    </w:p>
    <w:p>
      <w:pPr>
        <w:pStyle w:val="BodyText2"/>
        <w:spacing w:lineRule="auto" w:line="240" w:before="0" w:after="0"/>
        <w:jc w:val="center"/>
        <w:rPr>
          <w:rFonts w:ascii="Times New Roman" w:hAnsi="Times New Roman" w:cs="Times New Roman"/>
          <w:b/>
          <w:b/>
          <w:bCs/>
          <w:sz w:val="28"/>
          <w:szCs w:val="28"/>
          <w:lang w:val="ru-RU"/>
        </w:rPr>
      </w:pPr>
      <w:r>
        <w:rPr>
          <w:rFonts w:cs="Times New Roman" w:ascii="Times New Roman" w:hAnsi="Times New Roman"/>
          <w:b/>
          <w:bCs/>
          <w:sz w:val="28"/>
          <w:szCs w:val="28"/>
          <w:lang w:val="ru-RU"/>
        </w:rPr>
        <w:tab/>
        <w:tab/>
        <w:tab/>
        <w:tab/>
        <w:tab/>
        <w:tab/>
        <w:tab/>
        <w:tab/>
        <w:tab/>
        <w:tab/>
        <w:tab/>
        <w:t>тыс. руб.</w:t>
      </w:r>
    </w:p>
    <w:tbl>
      <w:tblPr>
        <w:tblW w:w="5000" w:type="pct"/>
        <w:jc w:val="left"/>
        <w:tblInd w:w="-18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0" w:type="dxa"/>
          <w:left w:w="98" w:type="dxa"/>
          <w:bottom w:w="0" w:type="dxa"/>
          <w:right w:w="108" w:type="dxa"/>
        </w:tblCellMar>
        <w:tblLook w:val="04a0"/>
      </w:tblPr>
      <w:tblGrid>
        <w:gridCol w:w="6208"/>
        <w:gridCol w:w="1518"/>
        <w:gridCol w:w="1241"/>
        <w:gridCol w:w="1378"/>
      </w:tblGrid>
      <w:tr>
        <w:trPr>
          <w:trHeight w:val="453" w:hRule="atLeast"/>
        </w:trPr>
        <w:tc>
          <w:tcPr>
            <w:tcW w:w="6208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/>
                <w:b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>Наименование</w:t>
            </w:r>
          </w:p>
        </w:tc>
        <w:tc>
          <w:tcPr>
            <w:tcW w:w="4137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/>
                <w:b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>План</w:t>
            </w:r>
          </w:p>
        </w:tc>
      </w:tr>
      <w:tr>
        <w:trPr>
          <w:trHeight w:val="305" w:hRule="atLeast"/>
        </w:trPr>
        <w:tc>
          <w:tcPr>
            <w:tcW w:w="6208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9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</w:r>
          </w:p>
        </w:tc>
        <w:tc>
          <w:tcPr>
            <w:tcW w:w="15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/>
                <w:b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>2024 год</w:t>
            </w:r>
          </w:p>
        </w:tc>
        <w:tc>
          <w:tcPr>
            <w:tcW w:w="12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/>
                <w:b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>2025 год</w:t>
            </w:r>
          </w:p>
        </w:tc>
        <w:tc>
          <w:tcPr>
            <w:tcW w:w="13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/>
                <w:b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>2026 год</w:t>
            </w:r>
          </w:p>
        </w:tc>
      </w:tr>
      <w:tr>
        <w:trPr>
          <w:trHeight w:val="439" w:hRule="atLeast"/>
        </w:trPr>
        <w:tc>
          <w:tcPr>
            <w:tcW w:w="6208" w:type="dxa"/>
            <w:tcBorders>
              <w:top w:val="single" w:sz="8" w:space="0" w:color="00000A"/>
              <w:left w:val="single" w:sz="8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88" w:type="dxa"/>
            </w:tcMar>
            <w:vAlign w:val="bottom"/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>
                <w:rFonts w:ascii="Times New Roman" w:hAnsi="Times New Roman"/>
                <w:b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Муниципальная программа «Развитие Знаменского муниципального образования Ивантеевского муниципального района Саратовской области»</w:t>
            </w:r>
          </w:p>
        </w:tc>
        <w:tc>
          <w:tcPr>
            <w:tcW w:w="1518" w:type="dxa"/>
            <w:tcBorders>
              <w:top w:val="single" w:sz="8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98" w:type="dxa"/>
            </w:tcMar>
            <w:vAlign w:val="bottom"/>
          </w:tcPr>
          <w:p>
            <w:pPr>
              <w:pStyle w:val="Normal"/>
              <w:spacing w:before="0" w:after="200"/>
              <w:jc w:val="right"/>
              <w:rPr>
                <w:rFonts w:ascii="Times New Roman" w:hAnsi="Times New Roman"/>
                <w:b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5913,5</w:t>
            </w:r>
          </w:p>
        </w:tc>
        <w:tc>
          <w:tcPr>
            <w:tcW w:w="1241" w:type="dxa"/>
            <w:tcBorders>
              <w:top w:val="single" w:sz="8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98" w:type="dxa"/>
            </w:tcMar>
            <w:vAlign w:val="bottom"/>
          </w:tcPr>
          <w:p>
            <w:pPr>
              <w:pStyle w:val="Normal"/>
              <w:spacing w:before="0" w:after="200"/>
              <w:jc w:val="right"/>
              <w:rPr>
                <w:rFonts w:ascii="Times New Roman" w:hAnsi="Times New Roman"/>
                <w:b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1391,6</w:t>
            </w:r>
          </w:p>
        </w:tc>
        <w:tc>
          <w:tcPr>
            <w:tcW w:w="1378" w:type="dxa"/>
            <w:tcBorders>
              <w:top w:val="single" w:sz="8" w:space="0" w:color="00000A"/>
              <w:left w:val="single" w:sz="4" w:space="0" w:color="00000A"/>
              <w:bottom w:val="single" w:sz="4" w:space="0" w:color="00000A"/>
              <w:right w:val="single" w:sz="8" w:space="0" w:color="00000A"/>
              <w:insideH w:val="single" w:sz="4" w:space="0" w:color="00000A"/>
              <w:insideV w:val="single" w:sz="8" w:space="0" w:color="00000A"/>
            </w:tcBorders>
            <w:shd w:fill="auto" w:val="clear"/>
            <w:tcMar>
              <w:left w:w="98" w:type="dxa"/>
            </w:tcMar>
            <w:vAlign w:val="bottom"/>
          </w:tcPr>
          <w:p>
            <w:pPr>
              <w:pStyle w:val="Normal"/>
              <w:spacing w:before="0" w:after="200"/>
              <w:jc w:val="right"/>
              <w:rPr>
                <w:rFonts w:ascii="Times New Roman" w:hAnsi="Times New Roman"/>
                <w:b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1461,7</w:t>
            </w:r>
          </w:p>
        </w:tc>
      </w:tr>
      <w:tr>
        <w:trPr>
          <w:trHeight w:val="255" w:hRule="atLeast"/>
        </w:trPr>
        <w:tc>
          <w:tcPr>
            <w:tcW w:w="6208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88" w:type="dxa"/>
            </w:tcMar>
            <w:vAlign w:val="bottom"/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Подпрограмма «Развитие автомобильных дорог общего пользования местного значения в границах населенных пунктов Знаменского  муниципального образования»</w:t>
            </w:r>
          </w:p>
        </w:tc>
        <w:tc>
          <w:tcPr>
            <w:tcW w:w="15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98" w:type="dxa"/>
            </w:tcMar>
            <w:vAlign w:val="bottom"/>
          </w:tcPr>
          <w:p>
            <w:pPr>
              <w:pStyle w:val="Normal"/>
              <w:spacing w:before="0" w:after="20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5476,5</w:t>
            </w:r>
          </w:p>
        </w:tc>
        <w:tc>
          <w:tcPr>
            <w:tcW w:w="12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98" w:type="dxa"/>
            </w:tcMar>
            <w:vAlign w:val="bottom"/>
          </w:tcPr>
          <w:p>
            <w:pPr>
              <w:pStyle w:val="Normal"/>
              <w:spacing w:before="0" w:after="20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954,6</w:t>
            </w:r>
          </w:p>
        </w:tc>
        <w:tc>
          <w:tcPr>
            <w:tcW w:w="13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8" w:space="0" w:color="00000A"/>
              <w:insideH w:val="single" w:sz="4" w:space="0" w:color="00000A"/>
              <w:insideV w:val="single" w:sz="8" w:space="0" w:color="00000A"/>
            </w:tcBorders>
            <w:shd w:fill="auto" w:val="clear"/>
            <w:tcMar>
              <w:left w:w="98" w:type="dxa"/>
            </w:tcMar>
            <w:vAlign w:val="bottom"/>
          </w:tcPr>
          <w:p>
            <w:pPr>
              <w:pStyle w:val="Normal"/>
              <w:spacing w:before="0" w:after="20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1062,7</w:t>
            </w:r>
          </w:p>
        </w:tc>
      </w:tr>
      <w:tr>
        <w:trPr>
          <w:trHeight w:val="255" w:hRule="atLeast"/>
        </w:trPr>
        <w:tc>
          <w:tcPr>
            <w:tcW w:w="6208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88" w:type="dxa"/>
            </w:tcMar>
            <w:vAlign w:val="bottom"/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Подпрограмма «Благоустройство»</w:t>
            </w:r>
          </w:p>
        </w:tc>
        <w:tc>
          <w:tcPr>
            <w:tcW w:w="15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98" w:type="dxa"/>
            </w:tcMar>
            <w:vAlign w:val="bottom"/>
          </w:tcPr>
          <w:p>
            <w:pPr>
              <w:pStyle w:val="Normal"/>
              <w:spacing w:before="0" w:after="20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432,0</w:t>
            </w:r>
          </w:p>
        </w:tc>
        <w:tc>
          <w:tcPr>
            <w:tcW w:w="12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98" w:type="dxa"/>
            </w:tcMar>
            <w:vAlign w:val="bottom"/>
          </w:tcPr>
          <w:p>
            <w:pPr>
              <w:pStyle w:val="Normal"/>
              <w:spacing w:before="0" w:after="20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432,0</w:t>
            </w:r>
          </w:p>
        </w:tc>
        <w:tc>
          <w:tcPr>
            <w:tcW w:w="13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8" w:space="0" w:color="00000A"/>
              <w:insideH w:val="single" w:sz="4" w:space="0" w:color="00000A"/>
              <w:insideV w:val="single" w:sz="8" w:space="0" w:color="00000A"/>
            </w:tcBorders>
            <w:shd w:fill="auto" w:val="clear"/>
            <w:tcMar>
              <w:left w:w="98" w:type="dxa"/>
            </w:tcMar>
            <w:vAlign w:val="bottom"/>
          </w:tcPr>
          <w:p>
            <w:pPr>
              <w:pStyle w:val="Normal"/>
              <w:spacing w:before="0" w:after="20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394,0</w:t>
            </w:r>
          </w:p>
        </w:tc>
      </w:tr>
      <w:tr>
        <w:trPr>
          <w:trHeight w:val="465" w:hRule="atLeast"/>
        </w:trPr>
        <w:tc>
          <w:tcPr>
            <w:tcW w:w="6208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88" w:type="dxa"/>
            </w:tcMar>
            <w:vAlign w:val="bottom"/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Подпрограмма "Обеспечение культурного досуга жителей муниципального образования»</w:t>
            </w:r>
          </w:p>
        </w:tc>
        <w:tc>
          <w:tcPr>
            <w:tcW w:w="15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98" w:type="dxa"/>
            </w:tcMar>
            <w:vAlign w:val="bottom"/>
          </w:tcPr>
          <w:p>
            <w:pPr>
              <w:pStyle w:val="Normal"/>
              <w:spacing w:before="0" w:after="20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5,0</w:t>
            </w:r>
          </w:p>
        </w:tc>
        <w:tc>
          <w:tcPr>
            <w:tcW w:w="12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98" w:type="dxa"/>
            </w:tcMar>
            <w:vAlign w:val="bottom"/>
          </w:tcPr>
          <w:p>
            <w:pPr>
              <w:pStyle w:val="Normal"/>
              <w:spacing w:before="0" w:after="20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5,0</w:t>
            </w:r>
          </w:p>
        </w:tc>
        <w:tc>
          <w:tcPr>
            <w:tcW w:w="13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8" w:space="0" w:color="00000A"/>
              <w:insideH w:val="single" w:sz="4" w:space="0" w:color="00000A"/>
              <w:insideV w:val="single" w:sz="8" w:space="0" w:color="00000A"/>
            </w:tcBorders>
            <w:shd w:fill="auto" w:val="clear"/>
            <w:tcMar>
              <w:left w:w="98" w:type="dxa"/>
            </w:tcMar>
            <w:vAlign w:val="bottom"/>
          </w:tcPr>
          <w:p>
            <w:pPr>
              <w:pStyle w:val="Normal"/>
              <w:spacing w:before="0" w:after="20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5,0</w:t>
            </w:r>
          </w:p>
        </w:tc>
      </w:tr>
    </w:tbl>
    <w:p>
      <w:pPr>
        <w:pStyle w:val="BodyText2"/>
        <w:spacing w:lineRule="auto" w:line="240" w:before="0" w:after="0"/>
        <w:jc w:val="center"/>
        <w:rPr>
          <w:rFonts w:ascii="Times New Roman" w:hAnsi="Times New Roman" w:cs="Times New Roman"/>
          <w:b/>
          <w:b/>
          <w:bCs/>
          <w:sz w:val="28"/>
          <w:szCs w:val="28"/>
          <w:lang w:val="ru-RU"/>
        </w:rPr>
      </w:pPr>
      <w:r>
        <w:rPr>
          <w:rFonts w:cs="Times New Roman" w:ascii="Times New Roman" w:hAnsi="Times New Roman"/>
          <w:b/>
          <w:bCs/>
          <w:sz w:val="28"/>
          <w:szCs w:val="28"/>
          <w:lang w:val="ru-RU"/>
        </w:rPr>
      </w:r>
    </w:p>
    <w:p>
      <w:pPr>
        <w:pStyle w:val="BodyText2"/>
        <w:spacing w:lineRule="auto" w:line="240" w:before="0" w:after="0"/>
        <w:jc w:val="center"/>
        <w:rPr>
          <w:rFonts w:ascii="Times New Roman" w:hAnsi="Times New Roman" w:cs="Times New Roman"/>
          <w:b/>
          <w:b/>
          <w:bCs/>
          <w:sz w:val="28"/>
          <w:szCs w:val="28"/>
          <w:lang w:val="ru-RU"/>
        </w:rPr>
      </w:pPr>
      <w:r>
        <w:rPr>
          <w:rFonts w:cs="Times New Roman" w:ascii="Times New Roman" w:hAnsi="Times New Roman"/>
          <w:b/>
          <w:bCs/>
          <w:sz w:val="28"/>
          <w:szCs w:val="28"/>
          <w:lang w:val="ru-RU"/>
        </w:rPr>
        <w:t>Планируемый объем муниципального долга</w:t>
      </w:r>
    </w:p>
    <w:p>
      <w:pPr>
        <w:pStyle w:val="BodyText2"/>
        <w:spacing w:lineRule="auto" w:line="240" w:before="0" w:after="0"/>
        <w:jc w:val="center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</w:r>
    </w:p>
    <w:p>
      <w:pPr>
        <w:pStyle w:val="BodyText2"/>
        <w:spacing w:lineRule="auto" w:line="240" w:before="0" w:after="0"/>
        <w:jc w:val="center"/>
        <w:rPr>
          <w:rFonts w:ascii="Times New Roman" w:hAnsi="Times New Roman" w:cs="Times New Roman"/>
          <w:b/>
          <w:b/>
          <w:sz w:val="20"/>
          <w:szCs w:val="20"/>
        </w:rPr>
      </w:pPr>
      <w:r>
        <w:rPr>
          <w:rFonts w:cs="Times New Roman" w:ascii="Times New Roman" w:hAnsi="Times New Roman"/>
          <w:b/>
          <w:sz w:val="20"/>
          <w:szCs w:val="20"/>
        </w:rPr>
      </w:r>
    </w:p>
    <w:tbl>
      <w:tblPr>
        <w:tblW w:w="5000" w:type="pct"/>
        <w:jc w:val="left"/>
        <w:tblInd w:w="-18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0" w:type="dxa"/>
          <w:left w:w="98" w:type="dxa"/>
          <w:bottom w:w="0" w:type="dxa"/>
          <w:right w:w="108" w:type="dxa"/>
        </w:tblCellMar>
        <w:tblLook w:val="04a0"/>
      </w:tblPr>
      <w:tblGrid>
        <w:gridCol w:w="2510"/>
        <w:gridCol w:w="1241"/>
        <w:gridCol w:w="1414"/>
        <w:gridCol w:w="1"/>
        <w:gridCol w:w="1100"/>
        <w:gridCol w:w="1411"/>
        <w:gridCol w:w="2"/>
        <w:gridCol w:w="1256"/>
        <w:gridCol w:w="1410"/>
      </w:tblGrid>
      <w:tr>
        <w:trPr>
          <w:trHeight w:val="429" w:hRule="atLeast"/>
        </w:trPr>
        <w:tc>
          <w:tcPr>
            <w:tcW w:w="2510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/>
                <w:b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Вид долгового обязательства</w:t>
            </w:r>
          </w:p>
        </w:tc>
        <w:tc>
          <w:tcPr>
            <w:tcW w:w="265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/>
                <w:b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На 01.01.2025г.</w:t>
            </w:r>
          </w:p>
        </w:tc>
        <w:tc>
          <w:tcPr>
            <w:tcW w:w="2512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/>
                <w:b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На 01.01.2026г.</w:t>
            </w:r>
          </w:p>
        </w:tc>
        <w:tc>
          <w:tcPr>
            <w:tcW w:w="266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/>
                <w:b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На 01.01.2027г.</w:t>
            </w:r>
          </w:p>
        </w:tc>
      </w:tr>
      <w:tr>
        <w:trPr>
          <w:trHeight w:val="537" w:hRule="atLeast"/>
        </w:trPr>
        <w:tc>
          <w:tcPr>
            <w:tcW w:w="2510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9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</w:r>
          </w:p>
        </w:tc>
        <w:tc>
          <w:tcPr>
            <w:tcW w:w="1241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/>
                <w:b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Сумма,           тыс. рублей</w:t>
            </w:r>
          </w:p>
        </w:tc>
        <w:tc>
          <w:tcPr>
            <w:tcW w:w="1415" w:type="dxa"/>
            <w:gridSpan w:val="2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/>
                <w:b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Удельный вес, в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>%</w:t>
            </w:r>
          </w:p>
        </w:tc>
        <w:tc>
          <w:tcPr>
            <w:tcW w:w="1100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/>
                <w:b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Сумма,           тыс. рублей</w:t>
            </w:r>
          </w:p>
        </w:tc>
        <w:tc>
          <w:tcPr>
            <w:tcW w:w="1413" w:type="dxa"/>
            <w:gridSpan w:val="2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/>
                <w:b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Удельный вес, в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>%</w:t>
            </w:r>
          </w:p>
        </w:tc>
        <w:tc>
          <w:tcPr>
            <w:tcW w:w="1256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/>
                <w:b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Сумма,           тыс. рублей</w:t>
            </w:r>
          </w:p>
        </w:tc>
        <w:tc>
          <w:tcPr>
            <w:tcW w:w="1410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/>
                <w:b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shd w:fill="C2D69B" w:val="clear"/>
              </w:rPr>
              <w:t>Удельный вес, в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>%</w:t>
            </w:r>
          </w:p>
        </w:tc>
      </w:tr>
      <w:tr>
        <w:trPr>
          <w:trHeight w:val="23" w:hRule="exact"/>
        </w:trPr>
        <w:tc>
          <w:tcPr>
            <w:tcW w:w="2510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9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</w:r>
          </w:p>
        </w:tc>
        <w:tc>
          <w:tcPr>
            <w:tcW w:w="1241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9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</w:r>
          </w:p>
        </w:tc>
        <w:tc>
          <w:tcPr>
            <w:tcW w:w="1415" w:type="dxa"/>
            <w:gridSpan w:val="2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9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</w:r>
          </w:p>
        </w:tc>
        <w:tc>
          <w:tcPr>
            <w:tcW w:w="1100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9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</w:r>
          </w:p>
        </w:tc>
        <w:tc>
          <w:tcPr>
            <w:tcW w:w="1413" w:type="dxa"/>
            <w:gridSpan w:val="2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9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</w:r>
          </w:p>
        </w:tc>
        <w:tc>
          <w:tcPr>
            <w:tcW w:w="1256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9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</w:r>
          </w:p>
        </w:tc>
        <w:tc>
          <w:tcPr>
            <w:tcW w:w="1410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9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</w:r>
          </w:p>
        </w:tc>
      </w:tr>
      <w:tr>
        <w:trPr>
          <w:trHeight w:val="630" w:hRule="atLeast"/>
        </w:trPr>
        <w:tc>
          <w:tcPr>
            <w:tcW w:w="2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98" w:type="dxa"/>
            </w:tcMar>
            <w:vAlign w:val="center"/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Бюджетные кредиты из районного бюджета</w:t>
            </w:r>
          </w:p>
        </w:tc>
        <w:tc>
          <w:tcPr>
            <w:tcW w:w="12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EAF1DD" w:themeFill="accent3" w:themeFillTint="33" w:val="clear"/>
            <w:vAlign w:val="center"/>
          </w:tcPr>
          <w:p>
            <w:pPr>
              <w:pStyle w:val="Normal"/>
              <w:spacing w:before="0" w:after="200"/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41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EAF1DD" w:themeFill="accent3" w:themeFillTint="33" w:val="clear"/>
            <w:vAlign w:val="center"/>
          </w:tcPr>
          <w:p>
            <w:pPr>
              <w:pStyle w:val="Normal"/>
              <w:spacing w:before="0" w:after="200"/>
              <w:jc w:val="righ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-</w:t>
            </w:r>
          </w:p>
        </w:tc>
        <w:tc>
          <w:tcPr>
            <w:tcW w:w="11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EAF1DD" w:themeFill="accent3" w:themeFillTint="33" w:val="clear"/>
            <w:vAlign w:val="center"/>
          </w:tcPr>
          <w:p>
            <w:pPr>
              <w:pStyle w:val="Normal"/>
              <w:spacing w:before="0" w:after="200"/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41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EAF1DD" w:themeFill="accent3" w:themeFillTint="33" w:val="clear"/>
            <w:vAlign w:val="center"/>
          </w:tcPr>
          <w:p>
            <w:pPr>
              <w:pStyle w:val="Normal"/>
              <w:spacing w:before="0" w:after="200"/>
              <w:jc w:val="righ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-</w:t>
            </w:r>
          </w:p>
        </w:tc>
        <w:tc>
          <w:tcPr>
            <w:tcW w:w="12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EAF1DD" w:themeFill="accent3" w:themeFillTint="33" w:val="clear"/>
            <w:vAlign w:val="center"/>
          </w:tcPr>
          <w:p>
            <w:pPr>
              <w:pStyle w:val="Normal"/>
              <w:spacing w:before="0" w:after="200"/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EAF1DD" w:themeFill="accent3" w:themeFillTint="33" w:val="clear"/>
            <w:vAlign w:val="center"/>
          </w:tcPr>
          <w:p>
            <w:pPr>
              <w:pStyle w:val="Normal"/>
              <w:spacing w:before="0" w:after="200"/>
              <w:jc w:val="righ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-</w:t>
            </w:r>
          </w:p>
        </w:tc>
      </w:tr>
      <w:tr>
        <w:trPr>
          <w:trHeight w:val="315" w:hRule="atLeast"/>
        </w:trPr>
        <w:tc>
          <w:tcPr>
            <w:tcW w:w="2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98" w:type="dxa"/>
            </w:tcMar>
            <w:vAlign w:val="center"/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Кредиты от кредитных организаций</w:t>
            </w:r>
          </w:p>
        </w:tc>
        <w:tc>
          <w:tcPr>
            <w:tcW w:w="12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EAF1DD" w:themeFill="accent3" w:themeFillTint="33" w:val="clear"/>
            <w:vAlign w:val="center"/>
          </w:tcPr>
          <w:p>
            <w:pPr>
              <w:pStyle w:val="Normal"/>
              <w:spacing w:before="0" w:after="200"/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41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EAF1DD" w:themeFill="accent3" w:themeFillTint="33" w:val="clear"/>
            <w:vAlign w:val="center"/>
          </w:tcPr>
          <w:p>
            <w:pPr>
              <w:pStyle w:val="Normal"/>
              <w:spacing w:before="0" w:after="200"/>
              <w:jc w:val="righ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-</w:t>
            </w:r>
          </w:p>
        </w:tc>
        <w:tc>
          <w:tcPr>
            <w:tcW w:w="11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EAF1DD" w:themeFill="accent3" w:themeFillTint="33" w:val="clear"/>
            <w:vAlign w:val="center"/>
          </w:tcPr>
          <w:p>
            <w:pPr>
              <w:pStyle w:val="Normal"/>
              <w:spacing w:before="0" w:after="200"/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41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EAF1DD" w:themeFill="accent3" w:themeFillTint="33" w:val="clear"/>
            <w:vAlign w:val="center"/>
          </w:tcPr>
          <w:p>
            <w:pPr>
              <w:pStyle w:val="Normal"/>
              <w:spacing w:before="0" w:after="200"/>
              <w:jc w:val="righ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-</w:t>
            </w:r>
          </w:p>
        </w:tc>
        <w:tc>
          <w:tcPr>
            <w:tcW w:w="12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EAF1DD" w:themeFill="accent3" w:themeFillTint="33" w:val="clear"/>
            <w:vAlign w:val="center"/>
          </w:tcPr>
          <w:p>
            <w:pPr>
              <w:pStyle w:val="Normal"/>
              <w:spacing w:before="0" w:after="200"/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EAF1DD" w:themeFill="accent3" w:themeFillTint="33" w:val="clear"/>
            <w:vAlign w:val="center"/>
          </w:tcPr>
          <w:p>
            <w:pPr>
              <w:pStyle w:val="Normal"/>
              <w:spacing w:before="0" w:after="200"/>
              <w:jc w:val="righ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-</w:t>
            </w:r>
          </w:p>
        </w:tc>
      </w:tr>
      <w:tr>
        <w:trPr>
          <w:trHeight w:val="315" w:hRule="atLeast"/>
        </w:trPr>
        <w:tc>
          <w:tcPr>
            <w:tcW w:w="2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98" w:type="dxa"/>
            </w:tcMar>
            <w:vAlign w:val="center"/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>
                <w:rFonts w:ascii="Times New Roman" w:hAnsi="Times New Roman"/>
                <w:b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Всего:</w:t>
            </w:r>
          </w:p>
        </w:tc>
        <w:tc>
          <w:tcPr>
            <w:tcW w:w="12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EAF1DD" w:themeFill="accent3" w:themeFillTint="33" w:val="clear"/>
            <w:vAlign w:val="center"/>
          </w:tcPr>
          <w:p>
            <w:pPr>
              <w:pStyle w:val="Normal"/>
              <w:spacing w:before="0" w:after="200"/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41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EAF1DD" w:themeFill="accent3" w:themeFillTint="33" w:val="clear"/>
            <w:vAlign w:val="center"/>
          </w:tcPr>
          <w:p>
            <w:pPr>
              <w:pStyle w:val="Normal"/>
              <w:spacing w:before="0" w:after="200"/>
              <w:jc w:val="righ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-</w:t>
            </w:r>
          </w:p>
        </w:tc>
        <w:tc>
          <w:tcPr>
            <w:tcW w:w="11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EAF1DD" w:themeFill="accent3" w:themeFillTint="33" w:val="clear"/>
            <w:vAlign w:val="center"/>
          </w:tcPr>
          <w:p>
            <w:pPr>
              <w:pStyle w:val="Normal"/>
              <w:spacing w:before="0" w:after="200"/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41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EAF1DD" w:themeFill="accent3" w:themeFillTint="33" w:val="clear"/>
            <w:vAlign w:val="center"/>
          </w:tcPr>
          <w:p>
            <w:pPr>
              <w:pStyle w:val="Normal"/>
              <w:spacing w:before="0" w:after="200"/>
              <w:jc w:val="righ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-</w:t>
            </w:r>
          </w:p>
        </w:tc>
        <w:tc>
          <w:tcPr>
            <w:tcW w:w="12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EAF1DD" w:themeFill="accent3" w:themeFillTint="33" w:val="clear"/>
            <w:vAlign w:val="center"/>
          </w:tcPr>
          <w:p>
            <w:pPr>
              <w:pStyle w:val="Normal"/>
              <w:spacing w:before="0" w:after="200"/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EAF1DD" w:themeFill="accent3" w:themeFillTint="33" w:val="clear"/>
            <w:vAlign w:val="center"/>
          </w:tcPr>
          <w:p>
            <w:pPr>
              <w:pStyle w:val="Normal"/>
              <w:spacing w:before="0" w:after="200"/>
              <w:jc w:val="righ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-</w:t>
            </w:r>
          </w:p>
        </w:tc>
      </w:tr>
    </w:tbl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Муниципальный долг в Знаменском муниципальном образовании по состоянию на 01.01.2024г. – отсутствует.</w:t>
      </w:r>
    </w:p>
    <w:p>
      <w:pPr>
        <w:pStyle w:val="Normal"/>
        <w:spacing w:lineRule="auto" w:line="24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lineRule="auto" w:line="240"/>
        <w:jc w:val="right"/>
        <w:rPr>
          <w:rFonts w:ascii="Times New Roman" w:hAnsi="Times New Roman"/>
          <w:sz w:val="28"/>
          <w:szCs w:val="28"/>
        </w:rPr>
      </w:pPr>
      <w:r>
        <w:rPr/>
        <w:drawing>
          <wp:inline distT="0" distB="0" distL="0" distR="0">
            <wp:extent cx="4533265" cy="1409700"/>
            <wp:effectExtent l="0" t="0" r="0" b="0"/>
            <wp:docPr id="28" name="Рисунок 14" descr="https://apn-nn.com/upload/iblock/0b3/0b3df142e9dac907ddbf77d78f2b16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14" descr="https://apn-nn.com/upload/iblock/0b3/0b3df142e9dac907ddbf77d78f2b16b2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26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Web"/>
        <w:spacing w:beforeAutospacing="0" w:before="0" w:after="20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Web"/>
        <w:spacing w:beforeAutospacing="0" w:before="0" w:after="20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Web"/>
        <w:spacing w:beforeAutospacing="0" w:before="0" w:after="200"/>
        <w:rPr>
          <w:sz w:val="28"/>
          <w:szCs w:val="28"/>
        </w:rPr>
      </w:pPr>
      <w:r>
        <w:rPr>
          <w:sz w:val="28"/>
          <w:szCs w:val="28"/>
        </w:rPr>
        <w:drawing>
          <wp:anchor behindDoc="0" distT="0" distB="0" distL="133350" distR="0" simplePos="0" locked="0" layoutInCell="1" allowOverlap="1" relativeHeight="7">
            <wp:simplePos x="0" y="0"/>
            <wp:positionH relativeFrom="column">
              <wp:align>right</wp:align>
            </wp:positionH>
            <wp:positionV relativeFrom="paragraph">
              <wp:posOffset>55880</wp:posOffset>
            </wp:positionV>
            <wp:extent cx="876300" cy="609600"/>
            <wp:effectExtent l="0" t="0" r="0" b="0"/>
            <wp:wrapSquare wrapText="largest"/>
            <wp:docPr id="29" name="Рисунок 34" descr="contac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34" descr="contacts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Контактная информация:</w:t>
      </w:r>
    </w:p>
    <w:p>
      <w:pPr>
        <w:pStyle w:val="Normal"/>
        <w:spacing w:lineRule="auto" w:line="240" w:before="0" w:after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>
        <w:rPr>
          <w:rFonts w:ascii="Times New Roman" w:hAnsi="Times New Roman"/>
          <w:sz w:val="28"/>
          <w:szCs w:val="28"/>
        </w:rPr>
        <w:t>Адрес:  Саратовская область, Ивантеевский район, пос.Знаменка</w:t>
      </w:r>
      <w:r>
        <w:rPr>
          <w:rFonts w:ascii="Times New Roman" w:hAnsi="Times New Roman"/>
          <w:color w:val="000000"/>
          <w:sz w:val="28"/>
          <w:szCs w:val="28"/>
        </w:rPr>
        <w:t xml:space="preserve">. </w:t>
      </w:r>
    </w:p>
    <w:p>
      <w:pPr>
        <w:pStyle w:val="Normal"/>
        <w:spacing w:lineRule="auto" w:line="240" w:before="0"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</w:t>
      </w:r>
      <w:r>
        <w:rPr>
          <w:rFonts w:ascii="Times New Roman" w:hAnsi="Times New Roman"/>
          <w:sz w:val="28"/>
          <w:szCs w:val="28"/>
        </w:rPr>
        <w:t>График работы с 8-00 до 16-12, перерыв с 12-00 до 13-00.</w:t>
      </w:r>
    </w:p>
    <w:p>
      <w:pPr>
        <w:pStyle w:val="Normal"/>
        <w:widowControl w:val="false"/>
        <w:tabs>
          <w:tab w:val="left" w:pos="560" w:leader="none"/>
          <w:tab w:val="left" w:pos="1120" w:leader="none"/>
          <w:tab w:val="left" w:pos="1680" w:leader="none"/>
          <w:tab w:val="left" w:pos="2240" w:leader="none"/>
          <w:tab w:val="left" w:pos="2800" w:leader="none"/>
          <w:tab w:val="left" w:pos="3360" w:leader="none"/>
          <w:tab w:val="left" w:pos="3920" w:leader="none"/>
          <w:tab w:val="left" w:pos="4480" w:leader="none"/>
          <w:tab w:val="left" w:pos="5040" w:leader="none"/>
          <w:tab w:val="left" w:pos="5600" w:leader="none"/>
          <w:tab w:val="left" w:pos="6160" w:leader="none"/>
          <w:tab w:val="left" w:pos="6720" w:leader="none"/>
        </w:tabs>
        <w:spacing w:lineRule="auto" w:line="240" w:before="0" w:after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</w:t>
      </w:r>
      <w:r>
        <w:rPr>
          <w:rFonts w:ascii="Times New Roman" w:hAnsi="Times New Roman"/>
          <w:sz w:val="28"/>
          <w:szCs w:val="28"/>
        </w:rPr>
        <w:t xml:space="preserve">Телефоны  (8 84579 5-61-21) </w:t>
      </w:r>
    </w:p>
    <w:p>
      <w:pPr>
        <w:pStyle w:val="Normal"/>
        <w:widowControl w:val="false"/>
        <w:tabs>
          <w:tab w:val="left" w:pos="560" w:leader="none"/>
          <w:tab w:val="left" w:pos="1120" w:leader="none"/>
          <w:tab w:val="left" w:pos="1680" w:leader="none"/>
          <w:tab w:val="left" w:pos="2240" w:leader="none"/>
          <w:tab w:val="left" w:pos="2800" w:leader="none"/>
          <w:tab w:val="left" w:pos="3360" w:leader="none"/>
          <w:tab w:val="left" w:pos="3920" w:leader="none"/>
          <w:tab w:val="left" w:pos="4480" w:leader="none"/>
          <w:tab w:val="left" w:pos="5040" w:leader="none"/>
          <w:tab w:val="left" w:pos="5600" w:leader="none"/>
          <w:tab w:val="left" w:pos="6160" w:leader="none"/>
          <w:tab w:val="left" w:pos="6720" w:leader="none"/>
        </w:tabs>
        <w:spacing w:lineRule="auto" w:line="240" w:before="0" w:after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      </w:t>
      </w:r>
      <w:r>
        <w:rPr>
          <w:rFonts w:ascii="Times New Roman" w:hAnsi="Times New Roman"/>
          <w:color w:val="000000"/>
          <w:sz w:val="28"/>
          <w:szCs w:val="28"/>
        </w:rPr>
        <w:t xml:space="preserve">Тел.5-61-21  </w:t>
      </w:r>
    </w:p>
    <w:p>
      <w:pPr>
        <w:pStyle w:val="Normal"/>
        <w:widowControl w:val="false"/>
        <w:tabs>
          <w:tab w:val="left" w:pos="560" w:leader="none"/>
          <w:tab w:val="left" w:pos="1120" w:leader="none"/>
          <w:tab w:val="left" w:pos="1680" w:leader="none"/>
          <w:tab w:val="left" w:pos="2240" w:leader="none"/>
          <w:tab w:val="left" w:pos="2800" w:leader="none"/>
          <w:tab w:val="left" w:pos="3360" w:leader="none"/>
          <w:tab w:val="left" w:pos="3920" w:leader="none"/>
          <w:tab w:val="left" w:pos="4480" w:leader="none"/>
          <w:tab w:val="left" w:pos="5040" w:leader="none"/>
          <w:tab w:val="left" w:pos="5600" w:leader="none"/>
          <w:tab w:val="left" w:pos="6160" w:leader="none"/>
          <w:tab w:val="left" w:pos="6720" w:leader="none"/>
        </w:tabs>
        <w:spacing w:lineRule="auto" w:line="240" w:before="0"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Глава Знаменского муниципального образования    Уколова И.Н.</w:t>
      </w:r>
    </w:p>
    <w:p>
      <w:pPr>
        <w:pStyle w:val="Normal"/>
        <w:widowControl w:val="false"/>
        <w:tabs>
          <w:tab w:val="left" w:pos="560" w:leader="none"/>
          <w:tab w:val="left" w:pos="1120" w:leader="none"/>
          <w:tab w:val="left" w:pos="1680" w:leader="none"/>
          <w:tab w:val="left" w:pos="2240" w:leader="none"/>
          <w:tab w:val="left" w:pos="2800" w:leader="none"/>
          <w:tab w:val="left" w:pos="3360" w:leader="none"/>
          <w:tab w:val="left" w:pos="3920" w:leader="none"/>
          <w:tab w:val="left" w:pos="4480" w:leader="none"/>
          <w:tab w:val="left" w:pos="5040" w:leader="none"/>
          <w:tab w:val="left" w:pos="5600" w:leader="none"/>
          <w:tab w:val="left" w:pos="6160" w:leader="none"/>
          <w:tab w:val="left" w:pos="6720" w:leader="none"/>
        </w:tabs>
        <w:spacing w:lineRule="auto" w:line="240" w:before="0"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Электронная почта:   </w:t>
      </w:r>
      <w:r>
        <w:rPr>
          <w:rFonts w:ascii="Times New Roman" w:hAnsi="Times New Roman"/>
          <w:sz w:val="28"/>
          <w:szCs w:val="28"/>
          <w:u w:val="single"/>
        </w:rPr>
        <w:t>admznam@mail.ru</w:t>
      </w:r>
    </w:p>
    <w:p>
      <w:pPr>
        <w:pStyle w:val="NormalWeb"/>
        <w:spacing w:beforeAutospacing="0" w:before="0" w:after="200"/>
        <w:rPr/>
      </w:pPr>
      <w:r>
        <w:rPr/>
      </w:r>
    </w:p>
    <w:sectPr>
      <w:type w:val="nextPage"/>
      <w:pgSz w:w="11906" w:h="16838"/>
      <w:pgMar w:left="993" w:right="567" w:header="0" w:top="284" w:footer="0" w:bottom="284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Times New Roman">
    <w:charset w:val="cc"/>
    <w:family w:val="roman"/>
    <w:pitch w:val="variable"/>
  </w:font>
  <w:font w:name="Calibri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Arial"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isplayBackgroundShape/>
  <w:defaultTabStop w:val="708"/>
  <w:compat/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lang w:val="ru-RU" w:eastAsia="ru-RU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1c1dd2"/>
    <w:pPr>
      <w:widowControl/>
      <w:bidi w:val="0"/>
      <w:spacing w:lineRule="auto" w:line="276" w:before="0" w:after="200"/>
      <w:jc w:val="left"/>
    </w:pPr>
    <w:rPr>
      <w:rFonts w:ascii="Calibri" w:hAnsi="Calibri" w:eastAsia="Times New Roman" w:cs="Times New Roman"/>
      <w:color w:val="00000A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Текст выноски Знак"/>
    <w:basedOn w:val="DefaultParagraphFont"/>
    <w:link w:val="a4"/>
    <w:uiPriority w:val="99"/>
    <w:semiHidden/>
    <w:qFormat/>
    <w:rsid w:val="004308b1"/>
    <w:rPr>
      <w:rFonts w:ascii="Tahoma" w:hAnsi="Tahoma" w:cs="Tahoma"/>
      <w:sz w:val="16"/>
      <w:szCs w:val="16"/>
      <w:lang w:eastAsia="en-US"/>
    </w:rPr>
  </w:style>
  <w:style w:type="character" w:styleId="2" w:customStyle="1">
    <w:name w:val="Основной текст 2 Знак"/>
    <w:basedOn w:val="DefaultParagraphFont"/>
    <w:link w:val="2"/>
    <w:uiPriority w:val="99"/>
    <w:qFormat/>
    <w:rsid w:val="00252394"/>
    <w:rPr>
      <w:rFonts w:ascii="Calibri" w:hAnsi="Calibri" w:eastAsia="" w:cs="" w:asciiTheme="minorHAnsi" w:cstheme="minorBidi" w:eastAsiaTheme="minorEastAsia" w:hAnsiTheme="minorHAnsi"/>
      <w:sz w:val="22"/>
      <w:szCs w:val="22"/>
      <w:lang w:val="en-US" w:eastAsia="en-US" w:bidi="en-US"/>
    </w:rPr>
  </w:style>
  <w:style w:type="paragraph" w:styleId="Style15">
    <w:name w:val="Заголовок"/>
    <w:basedOn w:val="Normal"/>
    <w:next w:val="Style16"/>
    <w:qFormat/>
    <w:pPr>
      <w:keepNext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Style16">
    <w:name w:val="Body Text"/>
    <w:basedOn w:val="Normal"/>
    <w:pPr>
      <w:spacing w:lineRule="auto" w:line="288" w:before="0" w:after="140"/>
    </w:pPr>
    <w:rPr/>
  </w:style>
  <w:style w:type="paragraph" w:styleId="Style17">
    <w:name w:val="List"/>
    <w:basedOn w:val="Style16"/>
    <w:pPr/>
    <w:rPr>
      <w:rFonts w:cs="Mangal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Mangal"/>
    </w:rPr>
  </w:style>
  <w:style w:type="paragraph" w:styleId="NormalWeb">
    <w:name w:val="Normal (Web)"/>
    <w:basedOn w:val="Normal"/>
    <w:uiPriority w:val="99"/>
    <w:unhideWhenUsed/>
    <w:qFormat/>
    <w:rsid w:val="00bb1507"/>
    <w:pPr>
      <w:spacing w:lineRule="auto" w:line="240" w:beforeAutospacing="1" w:afterAutospacing="1"/>
    </w:pPr>
    <w:rPr>
      <w:rFonts w:ascii="Times New Roman" w:hAnsi="Times New Roman"/>
      <w:sz w:val="24"/>
      <w:szCs w:val="24"/>
      <w:lang w:eastAsia="ru-RU"/>
    </w:rPr>
  </w:style>
  <w:style w:type="paragraph" w:styleId="Default" w:customStyle="1">
    <w:name w:val="Default"/>
    <w:qFormat/>
    <w:rsid w:val="000f7237"/>
    <w:pPr>
      <w:widowControl/>
      <w:bidi w:val="0"/>
      <w:jc w:val="left"/>
    </w:pPr>
    <w:rPr>
      <w:rFonts w:ascii="Times New Roman" w:hAnsi="Times New Roman" w:eastAsia="Times New Roman" w:cs="Times New Roman"/>
      <w:color w:val="000000"/>
      <w:sz w:val="24"/>
      <w:szCs w:val="24"/>
      <w:lang w:val="ru-RU" w:eastAsia="ru-RU" w:bidi="ar-SA"/>
    </w:rPr>
  </w:style>
  <w:style w:type="paragraph" w:styleId="BalloonText">
    <w:name w:val="Balloon Text"/>
    <w:basedOn w:val="Normal"/>
    <w:link w:val="a5"/>
    <w:uiPriority w:val="99"/>
    <w:semiHidden/>
    <w:unhideWhenUsed/>
    <w:qFormat/>
    <w:rsid w:val="004308b1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e0ad4"/>
    <w:pPr>
      <w:spacing w:before="0" w:after="200"/>
      <w:ind w:left="720" w:hanging="0"/>
      <w:contextualSpacing/>
    </w:pPr>
    <w:rPr>
      <w:rFonts w:eastAsia="Calibri"/>
    </w:rPr>
  </w:style>
  <w:style w:type="paragraph" w:styleId="BodyText2">
    <w:name w:val="Body Text 2"/>
    <w:basedOn w:val="Normal"/>
    <w:link w:val="20"/>
    <w:uiPriority w:val="99"/>
    <w:unhideWhenUsed/>
    <w:qFormat/>
    <w:rsid w:val="00252394"/>
    <w:pPr>
      <w:spacing w:lineRule="auto" w:line="480" w:before="0" w:after="120"/>
    </w:pPr>
    <w:rPr>
      <w:rFonts w:ascii="Calibri" w:hAnsi="Calibri" w:eastAsia="" w:cs="" w:asciiTheme="minorHAnsi" w:cstheme="minorBidi" w:eastAsiaTheme="minorEastAsia" w:hAnsiTheme="minorHAnsi"/>
      <w:lang w:val="en-US" w:bidi="en-US"/>
    </w:rPr>
  </w:style>
  <w:style w:type="paragraph" w:styleId="Style20">
    <w:name w:val="Содержимое врезки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a6">
    <w:name w:val="Table Grid"/>
    <w:basedOn w:val="a1"/>
    <w:uiPriority w:val="99"/>
    <w:rsid w:val="007f4c08"/>
    <w:rPr>
      <w:rFonts w:asciiTheme="minorHAnsi" w:hAnsiTheme="minorHAnsi" w:eastAsiaTheme="minorHAnsi" w:cstheme="minorBidi"/>
      <w:lang w:eastAsia="en-US"/>
      <w:sz w:val="22"/>
      <w:szCs w:val="22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3">
    <w:name w:val="Light Shading Accent 3"/>
    <w:basedOn w:val="a1"/>
    <w:uiPriority w:val="60"/>
    <w:rsid w:val="004633c4"/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color="9BBB59" w:themeColor="accent3" w:sz="8" w:space="0"/>
        <w:bottom w:val="single" w:color="9BBB59" w:themeColor="accent3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9BBB59" w:themeColor="accent3" w:sz="8" w:space="0"/>
          <w:left w:val="nil"/>
          <w:bottom w:val="single" w:color="9BBB59" w:themeColor="accent3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9BBB59" w:themeColor="accent3" w:sz="8" w:space="0"/>
          <w:left w:val="nil"/>
          <w:bottom w:val="single" w:color="9BBB59" w:themeColor="accent3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1-4">
    <w:name w:val="Medium Shading 1 Accent 4"/>
    <w:basedOn w:val="a1"/>
    <w:uiPriority w:val="63"/>
    <w:rsid w:val="004633c4"/>
    <w:rPr>
      <w:rFonts w:asciiTheme="minorHAnsi" w:hAnsiTheme="minorHAnsi" w:eastAsiaTheme="minorEastAsia" w:cstheme="minorBidi"/>
      <w:lang w:val="en-US" w:eastAsia="en-US" w:bidi="en-US"/>
      <w:sz w:val="22"/>
      <w:szCs w:val="22"/>
    </w:rPr>
    <w:tblPr>
      <w:tblStyleRowBandSize w:val="1"/>
      <w:tblStyleColBandSize w:val="1"/>
      <w:tblInd w:w="0" w:type="dxa"/>
      <w:tblBorders>
        <w:top w:val="single" w:color="9F8AB9" w:themeColor="accent4" w:themeTint="bf" w:sz="8" w:space="0"/>
        <w:left w:val="single" w:color="9F8AB9" w:themeColor="accent4" w:themeTint="bf" w:sz="8" w:space="0"/>
        <w:bottom w:val="single" w:color="9F8AB9" w:themeColor="accent4" w:themeTint="bf" w:sz="8" w:space="0"/>
        <w:right w:val="single" w:color="9F8AB9" w:themeColor="accent4" w:themeTint="bf" w:sz="8" w:space="0"/>
        <w:insideH w:val="single" w:color="9F8AB9" w:themeColor="accent4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9F8AB9" w:themeColor="accent4" w:sz="8" w:space="0"/>
          <w:left w:val="single" w:color="9F8AB9" w:themeColor="accent4" w:sz="8" w:space="0"/>
          <w:bottom w:val="single" w:color="9F8AB9" w:themeColor="accent4" w:sz="8" w:space="0"/>
          <w:right w:val="single" w:color="9F8AB9" w:themeColor="accent4" w:sz="8" w:space="0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9F8AB9" w:themeColor="accent4" w:sz="6" w:space="0"/>
          <w:left w:val="single" w:color="9F8AB9" w:themeColor="accent4" w:sz="8" w:space="0"/>
          <w:bottom w:val="single" w:color="9F8AB9" w:themeColor="accent4" w:sz="8" w:space="0"/>
          <w:right w:val="single" w:color="9F8AB9" w:themeColor="accent4" w:sz="8" w:space="0"/>
          <w:insideH w:val="nil"/>
          <w:insideV w:val="nil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pn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chart" Target="charts/chart1.xml"/><Relationship Id="rId10" Type="http://schemas.openxmlformats.org/officeDocument/2006/relationships/image" Target="media/image8.jpeg"/><Relationship Id="rId11" Type="http://schemas.openxmlformats.org/officeDocument/2006/relationships/image" Target="media/image9.jpeg"/><Relationship Id="rId12" Type="http://schemas.openxmlformats.org/officeDocument/2006/relationships/chart" Target="charts/chart2.xml"/><Relationship Id="rId13" Type="http://schemas.openxmlformats.org/officeDocument/2006/relationships/chart" Target="charts/chart3.xml"/><Relationship Id="rId14" Type="http://schemas.openxmlformats.org/officeDocument/2006/relationships/oleObject" Target="embeddings/oleObject1.bin"/><Relationship Id="rId15" Type="http://schemas.openxmlformats.org/officeDocument/2006/relationships/image" Target="media/image10.emf"/><Relationship Id="rId16" Type="http://schemas.openxmlformats.org/officeDocument/2006/relationships/oleObject" Target="embeddings/oleObject2.bin"/><Relationship Id="rId17" Type="http://schemas.openxmlformats.org/officeDocument/2006/relationships/image" Target="media/image11.emf"/><Relationship Id="rId18" Type="http://schemas.openxmlformats.org/officeDocument/2006/relationships/image" Target="media/image12.png"/><Relationship Id="rId19" Type="http://schemas.openxmlformats.org/officeDocument/2006/relationships/oleObject" Target="embeddings/oleObject3.bin"/><Relationship Id="rId20" Type="http://schemas.openxmlformats.org/officeDocument/2006/relationships/image" Target="media/image13.emf"/><Relationship Id="rId21" Type="http://schemas.openxmlformats.org/officeDocument/2006/relationships/oleObject" Target="embeddings/oleObject4.bin"/><Relationship Id="rId22" Type="http://schemas.openxmlformats.org/officeDocument/2006/relationships/image" Target="media/image14.emf"/><Relationship Id="rId23" Type="http://schemas.openxmlformats.org/officeDocument/2006/relationships/oleObject" Target="embeddings/oleObject5.bin"/><Relationship Id="rId24" Type="http://schemas.openxmlformats.org/officeDocument/2006/relationships/image" Target="media/image15.emf"/><Relationship Id="rId25" Type="http://schemas.openxmlformats.org/officeDocument/2006/relationships/oleObject" Target="embeddings/oleObject6.bin"/><Relationship Id="rId26" Type="http://schemas.openxmlformats.org/officeDocument/2006/relationships/image" Target="media/image16.emf"/><Relationship Id="rId27" Type="http://schemas.openxmlformats.org/officeDocument/2006/relationships/image" Target="media/image17.jpeg"/><Relationship Id="rId28" Type="http://schemas.openxmlformats.org/officeDocument/2006/relationships/image" Target="media/image18.jpeg"/><Relationship Id="rId29" Type="http://schemas.openxmlformats.org/officeDocument/2006/relationships/fontTable" Target="fontTable.xml"/><Relationship Id="rId30" Type="http://schemas.openxmlformats.org/officeDocument/2006/relationships/settings" Target="settings.xml"/><Relationship Id="rId31" Type="http://schemas.openxmlformats.org/officeDocument/2006/relationships/theme" Target="theme/theme1.xml"/><Relationship Id="rId32" Type="http://schemas.openxmlformats.org/officeDocument/2006/relationships/customXml" Target="../customXml/item1.xml"/>
</Relationships>
</file>

<file path=word/charts/_rels/chart1.xml.rels><?xml version="1.0" encoding="UTF-8"?>
<Relationships xmlns="http://schemas.openxmlformats.org/package/2006/relationships"><Relationship Id="rId1" Type="http://schemas.openxmlformats.org/officeDocument/2006/relationships/package" Target="../embeddings/_____Microsoft_Office_Excel1.xlsx"/>
</Relationships>
</file>

<file path=word/charts/_rels/chart2.xml.rels><?xml version="1.0" encoding="UTF-8"?>
<Relationships xmlns="http://schemas.openxmlformats.org/package/2006/relationships"><Relationship Id="rId1" Type="http://schemas.openxmlformats.org/officeDocument/2006/relationships/package" Target="../embeddings/_____Microsoft_Office_Excel2.xlsx"/>
</Relationships>
</file>

<file path=word/charts/_rels/chart3.xml.rels><?xml version="1.0" encoding="UTF-8"?>
<Relationships xmlns="http://schemas.openxmlformats.org/package/2006/relationships"><Relationship Id="rId1" Type="http://schemas.openxmlformats.org/officeDocument/2006/relationships/package" Target="../embeddings/_____Microsoft_Office_Excel3.xlsx"/>
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en-US"/>
  <c:roundedCorners val="0"/>
  <c:chart>
    <c:title>
      <c:tx>
        <c:rich>
          <a:bodyPr rot="0"/>
          <a:lstStyle/>
          <a:p>
            <a:pPr>
              <a:defRPr b="1" sz="1800" spc="-1" strike="noStrike">
                <a:solidFill>
                  <a:srgbClr val="000000"/>
                </a:solidFill>
                <a:uFill>
                  <a:solidFill>
                    <a:srgbClr val="ffffff"/>
                  </a:solidFill>
                </a:uFill>
                <a:latin typeface="Times New Roman"/>
              </a:defRPr>
            </a:pPr>
            <a:r>
              <a:rPr b="1" sz="1800" spc="-1" strike="noStrike">
                <a:solidFill>
                  <a:srgbClr val="000000"/>
                </a:solidFill>
                <a:uFill>
                  <a:solidFill>
                    <a:srgbClr val="ffffff"/>
                  </a:solidFill>
                </a:uFill>
                <a:latin typeface="Times New Roman"/>
              </a:rPr>
              <a:t>Структура доходов</a:t>
            </a:r>
          </a:p>
        </c:rich>
      </c:tx>
      <c:overlay val="0"/>
    </c:title>
    <c:autoTitleDeleted val="0"/>
    <c:plotArea>
      <c:barChart>
        <c:barDir val="col"/>
        <c:grouping val="clustered"/>
        <c:varyColors val="0"/>
        <c:ser>
          <c:idx val="0"/>
          <c:order val="0"/>
          <c:tx>
            <c:strRef>
              <c:f>label 0</c:f>
              <c:strCache>
                <c:ptCount val="1"/>
                <c:pt idx="0">
                  <c:v>НДФЛ</c:v>
                </c:pt>
              </c:strCache>
            </c:strRef>
          </c:tx>
          <c:spPr>
            <a:solidFill>
              <a:srgbClr val="4672a8"/>
            </a:solidFill>
            <a:ln>
              <a:noFill/>
            </a:ln>
          </c:spPr>
          <c:invertIfNegative val="0"/>
          <c:dLbls>
            <c:dLblPos val="outEnd"/>
            <c:showLegendKey val="0"/>
            <c:showVal val="0"/>
            <c:showCatName val="0"/>
            <c:showSerName val="0"/>
            <c:showPercent val="0"/>
            <c:showLeaderLines val="0"/>
          </c:dLbls>
          <c:cat>
            <c:strRef>
              <c:f>categories</c:f>
              <c:strCache>
                <c:ptCount val="5"/>
                <c:pt idx="0">
                  <c:v>2022 год</c:v>
                </c:pt>
                <c:pt idx="1">
                  <c:v>2023 год</c:v>
                </c:pt>
                <c:pt idx="2">
                  <c:v>2024 год</c:v>
                </c:pt>
                <c:pt idx="3">
                  <c:v>2025 год</c:v>
                </c:pt>
                <c:pt idx="4">
                  <c:v>2026 год</c:v>
                </c:pt>
              </c:strCache>
            </c:strRef>
          </c:cat>
          <c:val>
            <c:numRef>
              <c:f>0</c:f>
              <c:numCache>
                <c:formatCode>General</c:formatCode>
                <c:ptCount val="5"/>
                <c:pt idx="0">
                  <c:v>12.9</c:v>
                </c:pt>
                <c:pt idx="1">
                  <c:v>11.6</c:v>
                </c:pt>
                <c:pt idx="2">
                  <c:v>15.8</c:v>
                </c:pt>
                <c:pt idx="3">
                  <c:v>32</c:v>
                </c:pt>
                <c:pt idx="4">
                  <c:v>31.2</c:v>
                </c:pt>
              </c:numCache>
            </c:numRef>
          </c:val>
        </c:ser>
        <c:ser>
          <c:idx val="1"/>
          <c:order val="1"/>
          <c:tx>
            <c:strRef>
              <c:f>label 1</c:f>
              <c:strCache>
                <c:ptCount val="1"/>
                <c:pt idx="0">
                  <c:v>Акцизы на нефтепродукты</c:v>
                </c:pt>
              </c:strCache>
            </c:strRef>
          </c:tx>
          <c:spPr>
            <a:solidFill>
              <a:srgbClr val="ab4744"/>
            </a:solidFill>
            <a:ln>
              <a:noFill/>
            </a:ln>
          </c:spPr>
          <c:invertIfNegative val="0"/>
          <c:dLbls>
            <c:dLblPos val="outEnd"/>
            <c:showLegendKey val="0"/>
            <c:showVal val="0"/>
            <c:showCatName val="0"/>
            <c:showSerName val="0"/>
            <c:showPercent val="0"/>
            <c:showLeaderLines val="0"/>
          </c:dLbls>
          <c:cat>
            <c:strRef>
              <c:f>categories</c:f>
              <c:strCache>
                <c:ptCount val="5"/>
                <c:pt idx="0">
                  <c:v>2022 год</c:v>
                </c:pt>
                <c:pt idx="1">
                  <c:v>2023 год</c:v>
                </c:pt>
                <c:pt idx="2">
                  <c:v>2024 год</c:v>
                </c:pt>
                <c:pt idx="3">
                  <c:v>2025 год</c:v>
                </c:pt>
                <c:pt idx="4">
                  <c:v>2026 год</c:v>
                </c:pt>
              </c:strCache>
            </c:strRef>
          </c:cat>
          <c:val>
            <c:numRef>
              <c:f>1</c:f>
              <c:numCache>
                <c:formatCode>General</c:formatCode>
                <c:ptCount val="5"/>
                <c:pt idx="0">
                  <c:v>12.2</c:v>
                </c:pt>
                <c:pt idx="1">
                  <c:v>11.4</c:v>
                </c:pt>
                <c:pt idx="2">
                  <c:v>10.5</c:v>
                </c:pt>
                <c:pt idx="3">
                  <c:v>21.4</c:v>
                </c:pt>
                <c:pt idx="4">
                  <c:v>23</c:v>
                </c:pt>
              </c:numCache>
            </c:numRef>
          </c:val>
        </c:ser>
        <c:ser>
          <c:idx val="2"/>
          <c:order val="2"/>
          <c:tx>
            <c:strRef>
              <c:f>label 2</c:f>
              <c:strCache>
                <c:ptCount val="1"/>
                <c:pt idx="0">
                  <c:v>ЕСХН</c:v>
                </c:pt>
              </c:strCache>
            </c:strRef>
          </c:tx>
          <c:spPr>
            <a:solidFill>
              <a:srgbClr val="8aa64f"/>
            </a:solidFill>
            <a:ln>
              <a:noFill/>
            </a:ln>
          </c:spPr>
          <c:invertIfNegative val="0"/>
          <c:dLbls>
            <c:dLblPos val="outEnd"/>
            <c:showLegendKey val="0"/>
            <c:showVal val="0"/>
            <c:showCatName val="0"/>
            <c:showSerName val="0"/>
            <c:showPercent val="0"/>
            <c:showLeaderLines val="0"/>
          </c:dLbls>
          <c:cat>
            <c:strRef>
              <c:f>categories</c:f>
              <c:strCache>
                <c:ptCount val="5"/>
                <c:pt idx="0">
                  <c:v>2022 год</c:v>
                </c:pt>
                <c:pt idx="1">
                  <c:v>2023 год</c:v>
                </c:pt>
                <c:pt idx="2">
                  <c:v>2024 год</c:v>
                </c:pt>
                <c:pt idx="3">
                  <c:v>2025 год</c:v>
                </c:pt>
                <c:pt idx="4">
                  <c:v>2026 год</c:v>
                </c:pt>
              </c:strCache>
            </c:strRef>
          </c:cat>
          <c:val>
            <c:numRef>
              <c:f>2</c:f>
              <c:numCache>
                <c:formatCode>General</c:formatCode>
                <c:ptCount val="5"/>
                <c:pt idx="0">
                  <c:v>2.2</c:v>
                </c:pt>
                <c:pt idx="1">
                  <c:v>-0.3</c:v>
                </c:pt>
                <c:pt idx="2">
                  <c:v>0.2</c:v>
                </c:pt>
                <c:pt idx="3">
                  <c:v>0.4</c:v>
                </c:pt>
                <c:pt idx="4">
                  <c:v>0.3</c:v>
                </c:pt>
              </c:numCache>
            </c:numRef>
          </c:val>
        </c:ser>
        <c:ser>
          <c:idx val="3"/>
          <c:order val="3"/>
          <c:tx>
            <c:strRef>
              <c:f>label 3</c:f>
              <c:strCache>
                <c:ptCount val="1"/>
                <c:pt idx="0">
                  <c:v>Налог на имущество физ.лиц</c:v>
                </c:pt>
              </c:strCache>
            </c:strRef>
          </c:tx>
          <c:spPr>
            <a:solidFill>
              <a:srgbClr val="725990"/>
            </a:solidFill>
            <a:ln>
              <a:noFill/>
            </a:ln>
          </c:spPr>
          <c:invertIfNegative val="0"/>
          <c:dLbls>
            <c:dLblPos val="outEnd"/>
            <c:showLegendKey val="0"/>
            <c:showVal val="0"/>
            <c:showCatName val="0"/>
            <c:showSerName val="0"/>
            <c:showPercent val="0"/>
            <c:showLeaderLines val="0"/>
          </c:dLbls>
          <c:cat>
            <c:strRef>
              <c:f>categories</c:f>
              <c:strCache>
                <c:ptCount val="5"/>
                <c:pt idx="0">
                  <c:v>2022 год</c:v>
                </c:pt>
                <c:pt idx="1">
                  <c:v>2023 год</c:v>
                </c:pt>
                <c:pt idx="2">
                  <c:v>2024 год</c:v>
                </c:pt>
                <c:pt idx="3">
                  <c:v>2025 год</c:v>
                </c:pt>
                <c:pt idx="4">
                  <c:v>2026 год</c:v>
                </c:pt>
              </c:strCache>
            </c:strRef>
          </c:cat>
          <c:val>
            <c:numRef>
              <c:f>3</c:f>
              <c:numCache>
                <c:formatCode>General</c:formatCode>
                <c:ptCount val="5"/>
                <c:pt idx="0">
                  <c:v>1.4</c:v>
                </c:pt>
                <c:pt idx="1">
                  <c:v>1.3</c:v>
                </c:pt>
                <c:pt idx="2">
                  <c:v>3.9</c:v>
                </c:pt>
                <c:pt idx="3">
                  <c:v>7.9</c:v>
                </c:pt>
                <c:pt idx="4">
                  <c:v>7.6</c:v>
                </c:pt>
              </c:numCache>
            </c:numRef>
          </c:val>
        </c:ser>
        <c:ser>
          <c:idx val="4"/>
          <c:order val="4"/>
          <c:tx>
            <c:strRef>
              <c:f>label 4</c:f>
              <c:strCache>
                <c:ptCount val="1"/>
                <c:pt idx="0">
                  <c:v>Земельный налог</c:v>
                </c:pt>
              </c:strCache>
            </c:strRef>
          </c:tx>
          <c:spPr>
            <a:solidFill>
              <a:srgbClr val="4299b0"/>
            </a:solidFill>
            <a:ln>
              <a:noFill/>
            </a:ln>
          </c:spPr>
          <c:invertIfNegative val="0"/>
          <c:dLbls>
            <c:dLblPos val="outEnd"/>
            <c:showLegendKey val="0"/>
            <c:showVal val="0"/>
            <c:showCatName val="0"/>
            <c:showSerName val="0"/>
            <c:showPercent val="0"/>
            <c:showLeaderLines val="0"/>
          </c:dLbls>
          <c:cat>
            <c:strRef>
              <c:f>categories</c:f>
              <c:strCache>
                <c:ptCount val="5"/>
                <c:pt idx="0">
                  <c:v>2022 год</c:v>
                </c:pt>
                <c:pt idx="1">
                  <c:v>2023 год</c:v>
                </c:pt>
                <c:pt idx="2">
                  <c:v>2024 год</c:v>
                </c:pt>
                <c:pt idx="3">
                  <c:v>2025 год</c:v>
                </c:pt>
                <c:pt idx="4">
                  <c:v>2026 год</c:v>
                </c:pt>
              </c:strCache>
            </c:strRef>
          </c:cat>
          <c:val>
            <c:numRef>
              <c:f>4</c:f>
              <c:numCache>
                <c:formatCode>General</c:formatCode>
                <c:ptCount val="5"/>
                <c:pt idx="0">
                  <c:v>17.2</c:v>
                </c:pt>
                <c:pt idx="1">
                  <c:v>10.8</c:v>
                </c:pt>
                <c:pt idx="2">
                  <c:v>13.8</c:v>
                </c:pt>
                <c:pt idx="3">
                  <c:v>27.5</c:v>
                </c:pt>
                <c:pt idx="4">
                  <c:v>26.6</c:v>
                </c:pt>
              </c:numCache>
            </c:numRef>
          </c:val>
        </c:ser>
        <c:ser>
          <c:idx val="5"/>
          <c:order val="5"/>
          <c:tx>
            <c:strRef>
              <c:f>label 5</c:f>
              <c:strCache>
                <c:ptCount val="1"/>
                <c:pt idx="0">
                  <c:v>Неналоговые доходы</c:v>
                </c:pt>
              </c:strCache>
            </c:strRef>
          </c:tx>
          <c:spPr>
            <a:solidFill>
              <a:srgbClr val="dc853e"/>
            </a:solidFill>
            <a:ln>
              <a:noFill/>
            </a:ln>
          </c:spPr>
          <c:invertIfNegative val="0"/>
          <c:dLbls>
            <c:dLblPos val="outEnd"/>
            <c:showLegendKey val="0"/>
            <c:showVal val="0"/>
            <c:showCatName val="0"/>
            <c:showSerName val="0"/>
            <c:showPercent val="0"/>
            <c:showLeaderLines val="0"/>
          </c:dLbls>
          <c:cat>
            <c:strRef>
              <c:f>categories</c:f>
              <c:strCache>
                <c:ptCount val="5"/>
                <c:pt idx="0">
                  <c:v>2022 год</c:v>
                </c:pt>
                <c:pt idx="1">
                  <c:v>2023 год</c:v>
                </c:pt>
                <c:pt idx="2">
                  <c:v>2024 год</c:v>
                </c:pt>
                <c:pt idx="3">
                  <c:v>2025 год</c:v>
                </c:pt>
                <c:pt idx="4">
                  <c:v>2026 год</c:v>
                </c:pt>
              </c:strCache>
            </c:strRef>
          </c:cat>
          <c:val>
            <c:numRef>
              <c:f>5</c:f>
              <c:numCache>
                <c:formatCode>General</c:formatCode>
                <c:ptCount val="5"/>
                <c:pt idx="0">
                  <c:v>1.8</c:v>
                </c:pt>
                <c:pt idx="1">
                  <c:v>1.8</c:v>
                </c:pt>
                <c:pt idx="2">
                  <c:v/>
                </c:pt>
                <c:pt idx="3">
                  <c:v/>
                </c:pt>
                <c:pt idx="4">
                  <c:v/>
                </c:pt>
              </c:numCache>
            </c:numRef>
          </c:val>
        </c:ser>
        <c:ser>
          <c:idx val="6"/>
          <c:order val="6"/>
          <c:tx>
            <c:strRef>
              <c:f>label 6</c:f>
              <c:strCache>
                <c:ptCount val="1"/>
                <c:pt idx="0">
                  <c:v>Безвозмездные поступления</c:v>
                </c:pt>
              </c:strCache>
            </c:strRef>
          </c:tx>
          <c:spPr>
            <a:solidFill>
              <a:srgbClr val="93a9ce"/>
            </a:solidFill>
            <a:ln>
              <a:noFill/>
            </a:ln>
          </c:spPr>
          <c:invertIfNegative val="0"/>
          <c:dLbls>
            <c:dLblPos val="outEnd"/>
            <c:showLegendKey val="0"/>
            <c:showVal val="0"/>
            <c:showCatName val="0"/>
            <c:showSerName val="0"/>
            <c:showPercent val="0"/>
            <c:showLeaderLines val="0"/>
          </c:dLbls>
          <c:cat>
            <c:strRef>
              <c:f>categories</c:f>
              <c:strCache>
                <c:ptCount val="5"/>
                <c:pt idx="0">
                  <c:v>2022 год</c:v>
                </c:pt>
                <c:pt idx="1">
                  <c:v>2023 год</c:v>
                </c:pt>
                <c:pt idx="2">
                  <c:v>2024 год</c:v>
                </c:pt>
                <c:pt idx="3">
                  <c:v>2025 год</c:v>
                </c:pt>
                <c:pt idx="4">
                  <c:v>2026 год</c:v>
                </c:pt>
              </c:strCache>
            </c:strRef>
          </c:cat>
          <c:val>
            <c:numRef>
              <c:f>6</c:f>
              <c:numCache>
                <c:formatCode>General</c:formatCode>
                <c:ptCount val="5"/>
                <c:pt idx="0">
                  <c:v>52.3</c:v>
                </c:pt>
                <c:pt idx="1">
                  <c:v>63.4</c:v>
                </c:pt>
                <c:pt idx="2">
                  <c:v>55.8</c:v>
                </c:pt>
                <c:pt idx="3">
                  <c:v>10.8</c:v>
                </c:pt>
                <c:pt idx="4">
                  <c:v>11.3</c:v>
                </c:pt>
              </c:numCache>
            </c:numRef>
          </c:val>
        </c:ser>
        <c:gapWidth val="150"/>
        <c:overlap val="0"/>
        <c:axId val="2439814"/>
        <c:axId val="74880682"/>
      </c:barChart>
      <c:catAx>
        <c:axId val="2439814"/>
        <c:scaling>
          <c:orientation val="minMax"/>
        </c:scaling>
        <c:delete val="0"/>
        <c:axPos val="b"/>
        <c:numFmt formatCode="DD/MM/YYYY" sourceLinked="1"/>
        <c:majorTickMark val="none"/>
        <c:minorTickMark val="none"/>
        <c:tickLblPos val="nextTo"/>
        <c:spPr>
          <a:ln w="9360">
            <a:solidFill>
              <a:srgbClr val="878787"/>
            </a:solidFill>
            <a:round/>
          </a:ln>
        </c:spPr>
        <c:txPr>
          <a:bodyPr/>
          <a:p>
            <a:pPr>
              <a:defRPr b="0" sz="1000" spc="-1" strike="noStrike">
                <a:solidFill>
                  <a:srgbClr val="000000"/>
                </a:solidFill>
                <a:uFill>
                  <a:solidFill>
                    <a:srgbClr val="ffffff"/>
                  </a:solidFill>
                </a:uFill>
                <a:latin typeface="Calibri"/>
              </a:defRPr>
            </a:pPr>
          </a:p>
        </c:txPr>
        <c:crossAx val="74880682"/>
        <c:crosses val="autoZero"/>
        <c:auto val="1"/>
        <c:lblAlgn val="ctr"/>
        <c:lblOffset val="100"/>
      </c:catAx>
      <c:valAx>
        <c:axId val="74880682"/>
        <c:scaling>
          <c:orientation val="minMax"/>
        </c:scaling>
        <c:delete val="0"/>
        <c:axPos val="l"/>
        <c:majorGridlines>
          <c:spPr>
            <a:ln w="9360">
              <a:solidFill>
                <a:srgbClr val="878787"/>
              </a:solidFill>
              <a:round/>
            </a:ln>
          </c:spPr>
        </c:majorGridlines>
        <c:title>
          <c:tx>
            <c:rich>
              <a:bodyPr rot="-5400000"/>
              <a:lstStyle/>
              <a:p>
                <a:pPr>
                  <a:defRPr b="0" sz="1800" spc="-1" strike="noStrike">
                    <a:solidFill>
                      <a:srgbClr val="000000"/>
                    </a:solidFill>
                    <a:uFill>
                      <a:solidFill>
                        <a:srgbClr val="ffffff"/>
                      </a:solidFill>
                    </a:uFill>
                    <a:latin typeface="Times New Roman"/>
                  </a:defRPr>
                </a:pPr>
                <a:r>
                  <a:rPr b="0" sz="1800" spc="-1" strike="noStrike">
                    <a:solidFill>
                      <a:srgbClr val="000000"/>
                    </a:solidFill>
                    <a:uFill>
                      <a:solidFill>
                        <a:srgbClr val="ffffff"/>
                      </a:solidFill>
                    </a:uFill>
                    <a:latin typeface="Times New Roman"/>
                  </a:rPr>
                  <a:t>%</a:t>
                </a:r>
              </a:p>
            </c:rich>
          </c:tx>
          <c:overlay val="0"/>
        </c:title>
        <c:numFmt formatCode="0.0" sourceLinked="0"/>
        <c:majorTickMark val="none"/>
        <c:minorTickMark val="none"/>
        <c:tickLblPos val="nextTo"/>
        <c:spPr>
          <a:ln w="9360">
            <a:solidFill>
              <a:srgbClr val="878787"/>
            </a:solidFill>
            <a:round/>
          </a:ln>
        </c:spPr>
        <c:txPr>
          <a:bodyPr/>
          <a:p>
            <a:pPr>
              <a:defRPr b="0" sz="1000" spc="-1" strike="noStrike">
                <a:solidFill>
                  <a:srgbClr val="000000"/>
                </a:solidFill>
                <a:uFill>
                  <a:solidFill>
                    <a:srgbClr val="ffffff"/>
                  </a:solidFill>
                </a:uFill>
                <a:latin typeface="Calibri"/>
              </a:defRPr>
            </a:pPr>
          </a:p>
        </c:txPr>
        <c:crossAx val="2439814"/>
        <c:crosses val="autoZero"/>
        <c:crossBetween val="midCat"/>
      </c:valAx>
      <c:dTable>
        <c:showHorzBorder val="1"/>
        <c:showVertBorder val="1"/>
        <c:showOutline val="1"/>
      </c:dTable>
      <c:spPr>
        <a:solidFill>
          <a:srgbClr val="ebf1de"/>
        </a:solidFill>
        <a:ln>
          <a:noFill/>
        </a:ln>
      </c:spPr>
    </c:plotArea>
    <c:plotVisOnly val="1"/>
    <c:dispBlanksAs val="gap"/>
  </c:chart>
  <c:spPr>
    <a:solidFill>
      <a:srgbClr val="ebf1de"/>
    </a:solidFill>
    <a:ln>
      <a:noFill/>
    </a:ln>
  </c:sp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en-US"/>
  <c:roundedCorners val="0"/>
  <c:chart>
    <c:view3D>
      <c:rotX val="15"/>
      <c:rotY val="20"/>
      <c:rAngAx val="1"/>
      <c:perspective val="30"/>
    </c:view3D>
    <c:floor>
      <c:spPr>
        <a:solidFill>
          <a:srgbClr val="c0c0c0"/>
        </a:solidFill>
        <a:ln w="3240">
          <a:solidFill>
            <a:srgbClr val="000000"/>
          </a:solidFill>
          <a:round/>
        </a:ln>
      </c:spPr>
    </c:floor>
    <c:backWall>
      <c:spPr>
        <a:solidFill>
          <a:srgbClr val="00ffff"/>
        </a:solidFill>
        <a:ln w="12600">
          <a:solidFill>
            <a:srgbClr val="808080"/>
          </a:solidFill>
          <a:round/>
        </a:ln>
      </c:spPr>
    </c:backWall>
    <c:plotArea>
      <c:bar3DChart>
        <c:barDir val="col"/>
        <c:grouping val="clustered"/>
        <c:varyColors val="0"/>
        <c:ser>
          <c:idx val="0"/>
          <c:order val="0"/>
          <c:tx>
            <c:strRef>
              <c:f>label 0</c:f>
              <c:strCache>
                <c:ptCount val="1"/>
                <c:pt idx="0">
                  <c:v>Общегосударственные вопросы</c:v>
                </c:pt>
              </c:strCache>
            </c:strRef>
          </c:tx>
          <c:spPr>
            <a:solidFill>
              <a:srgbClr val="4f81bd"/>
            </a:solidFill>
            <a:ln>
              <a:noFill/>
            </a:ln>
          </c:spPr>
          <c:invertIfNegative val="0"/>
          <c:dLbls>
            <c:showLegendKey val="0"/>
            <c:showVal val="0"/>
            <c:showCatName val="0"/>
            <c:showSerName val="0"/>
            <c:showPercent val="0"/>
            <c:showLeaderLines val="0"/>
          </c:dLbls>
          <c:cat>
            <c:strRef>
              <c:f>categories</c:f>
              <c:strCache>
                <c:ptCount val="5"/>
                <c:pt idx="0">
                  <c:v>2022г</c:v>
                </c:pt>
                <c:pt idx="1">
                  <c:v>2023г</c:v>
                </c:pt>
                <c:pt idx="2">
                  <c:v>2024г</c:v>
                </c:pt>
                <c:pt idx="3">
                  <c:v>2025г</c:v>
                </c:pt>
                <c:pt idx="4">
                  <c:v>2026г</c:v>
                </c:pt>
              </c:strCache>
            </c:strRef>
          </c:cat>
          <c:val>
            <c:numRef>
              <c:f>0</c:f>
              <c:numCache>
                <c:formatCode>General</c:formatCode>
                <c:ptCount val="5"/>
                <c:pt idx="0">
                  <c:v>24.5</c:v>
                </c:pt>
                <c:pt idx="1">
                  <c:v>31.5</c:v>
                </c:pt>
                <c:pt idx="2">
                  <c:v>27.4</c:v>
                </c:pt>
                <c:pt idx="3">
                  <c:v>54.2</c:v>
                </c:pt>
                <c:pt idx="4">
                  <c:v>52.4</c:v>
                </c:pt>
              </c:numCache>
            </c:numRef>
          </c:val>
        </c:ser>
        <c:ser>
          <c:idx val="1"/>
          <c:order val="1"/>
          <c:tx>
            <c:strRef>
              <c:f>label 1</c:f>
              <c:strCache>
                <c:ptCount val="1"/>
                <c:pt idx="0">
                  <c:v>Национальная оборона</c:v>
                </c:pt>
              </c:strCache>
            </c:strRef>
          </c:tx>
          <c:spPr>
            <a:solidFill>
              <a:srgbClr val="c0504d"/>
            </a:solidFill>
            <a:ln>
              <a:noFill/>
            </a:ln>
          </c:spPr>
          <c:invertIfNegative val="0"/>
          <c:dLbls>
            <c:showLegendKey val="0"/>
            <c:showVal val="0"/>
            <c:showCatName val="0"/>
            <c:showSerName val="0"/>
            <c:showPercent val="0"/>
            <c:showLeaderLines val="0"/>
          </c:dLbls>
          <c:cat>
            <c:strRef>
              <c:f>categories</c:f>
              <c:strCache>
                <c:ptCount val="5"/>
                <c:pt idx="0">
                  <c:v>2022г</c:v>
                </c:pt>
                <c:pt idx="1">
                  <c:v>2023г</c:v>
                </c:pt>
                <c:pt idx="2">
                  <c:v>2024г</c:v>
                </c:pt>
                <c:pt idx="3">
                  <c:v>2025г</c:v>
                </c:pt>
                <c:pt idx="4">
                  <c:v>2026г</c:v>
                </c:pt>
              </c:strCache>
            </c:strRef>
          </c:cat>
          <c:val>
            <c:numRef>
              <c:f>1</c:f>
              <c:numCache>
                <c:formatCode>General</c:formatCode>
                <c:ptCount val="5"/>
                <c:pt idx="0">
                  <c:v>2.2</c:v>
                </c:pt>
                <c:pt idx="1">
                  <c:v>2.8</c:v>
                </c:pt>
                <c:pt idx="2">
                  <c:v>3.9</c:v>
                </c:pt>
                <c:pt idx="3">
                  <c:v>8.8</c:v>
                </c:pt>
                <c:pt idx="4">
                  <c:v>9.5</c:v>
                </c:pt>
              </c:numCache>
            </c:numRef>
          </c:val>
        </c:ser>
        <c:ser>
          <c:idx val="2"/>
          <c:order val="2"/>
          <c:tx>
            <c:strRef>
              <c:f>label 2</c:f>
              <c:strCache>
                <c:ptCount val="1"/>
                <c:pt idx="0">
                  <c:v>Национальная экономика</c:v>
                </c:pt>
              </c:strCache>
            </c:strRef>
          </c:tx>
          <c:spPr>
            <a:solidFill>
              <a:srgbClr val="9bbb59"/>
            </a:solidFill>
            <a:ln>
              <a:noFill/>
            </a:ln>
          </c:spPr>
          <c:invertIfNegative val="0"/>
          <c:dLbls>
            <c:showLegendKey val="0"/>
            <c:showVal val="0"/>
            <c:showCatName val="0"/>
            <c:showSerName val="0"/>
            <c:showPercent val="0"/>
            <c:showLeaderLines val="0"/>
          </c:dLbls>
          <c:cat>
            <c:strRef>
              <c:f>categories</c:f>
              <c:strCache>
                <c:ptCount val="5"/>
                <c:pt idx="0">
                  <c:v>2022г</c:v>
                </c:pt>
                <c:pt idx="1">
                  <c:v>2023г</c:v>
                </c:pt>
                <c:pt idx="2">
                  <c:v>2024г</c:v>
                </c:pt>
                <c:pt idx="3">
                  <c:v>2025г</c:v>
                </c:pt>
                <c:pt idx="4">
                  <c:v>2026г</c:v>
                </c:pt>
              </c:strCache>
            </c:strRef>
          </c:cat>
          <c:val>
            <c:numRef>
              <c:f>2</c:f>
              <c:numCache>
                <c:formatCode>General</c:formatCode>
                <c:ptCount val="5"/>
                <c:pt idx="0">
                  <c:v>44</c:v>
                </c:pt>
                <c:pt idx="1">
                  <c:v>57.9</c:v>
                </c:pt>
                <c:pt idx="2">
                  <c:v>61.4</c:v>
                </c:pt>
                <c:pt idx="3">
                  <c:v>21.9</c:v>
                </c:pt>
                <c:pt idx="4">
                  <c:v>24.1</c:v>
                </c:pt>
              </c:numCache>
            </c:numRef>
          </c:val>
        </c:ser>
        <c:ser>
          <c:idx val="3"/>
          <c:order val="3"/>
          <c:tx>
            <c:strRef>
              <c:f>label 3</c:f>
              <c:strCache>
                <c:ptCount val="1"/>
                <c:pt idx="0">
                  <c:v>Жилищно-коммунальное хозяйство</c:v>
                </c:pt>
              </c:strCache>
            </c:strRef>
          </c:tx>
          <c:spPr>
            <a:solidFill>
              <a:srgbClr val="8064a2"/>
            </a:solidFill>
            <a:ln>
              <a:noFill/>
            </a:ln>
          </c:spPr>
          <c:invertIfNegative val="0"/>
          <c:dLbls>
            <c:showLegendKey val="0"/>
            <c:showVal val="0"/>
            <c:showCatName val="0"/>
            <c:showSerName val="0"/>
            <c:showPercent val="0"/>
            <c:showLeaderLines val="0"/>
          </c:dLbls>
          <c:cat>
            <c:strRef>
              <c:f>categories</c:f>
              <c:strCache>
                <c:ptCount val="5"/>
                <c:pt idx="0">
                  <c:v>2022г</c:v>
                </c:pt>
                <c:pt idx="1">
                  <c:v>2023г</c:v>
                </c:pt>
                <c:pt idx="2">
                  <c:v>2024г</c:v>
                </c:pt>
                <c:pt idx="3">
                  <c:v>2025г</c:v>
                </c:pt>
                <c:pt idx="4">
                  <c:v>2026г</c:v>
                </c:pt>
              </c:strCache>
            </c:strRef>
          </c:cat>
          <c:val>
            <c:numRef>
              <c:f>3</c:f>
              <c:numCache>
                <c:formatCode>General</c:formatCode>
                <c:ptCount val="5"/>
                <c:pt idx="0">
                  <c:v>27.5</c:v>
                </c:pt>
                <c:pt idx="1">
                  <c:v>5.5</c:v>
                </c:pt>
                <c:pt idx="2">
                  <c:v>4.8</c:v>
                </c:pt>
                <c:pt idx="3">
                  <c:v>9.9</c:v>
                </c:pt>
                <c:pt idx="4">
                  <c:v>8.9</c:v>
                </c:pt>
              </c:numCache>
            </c:numRef>
          </c:val>
        </c:ser>
        <c:ser>
          <c:idx val="4"/>
          <c:order val="4"/>
          <c:tx>
            <c:strRef>
              <c:f>label 4</c:f>
              <c:strCache>
                <c:ptCount val="1"/>
                <c:pt idx="0">
                  <c:v>Культура и кинематография</c:v>
                </c:pt>
              </c:strCache>
            </c:strRef>
          </c:tx>
          <c:spPr>
            <a:solidFill>
              <a:srgbClr val="4bacc6"/>
            </a:solidFill>
            <a:ln>
              <a:noFill/>
            </a:ln>
          </c:spPr>
          <c:invertIfNegative val="0"/>
          <c:dLbls>
            <c:showLegendKey val="0"/>
            <c:showVal val="0"/>
            <c:showCatName val="0"/>
            <c:showSerName val="0"/>
            <c:showPercent val="0"/>
            <c:showLeaderLines val="0"/>
          </c:dLbls>
          <c:cat>
            <c:strRef>
              <c:f>categories</c:f>
              <c:strCache>
                <c:ptCount val="5"/>
                <c:pt idx="0">
                  <c:v>2022г</c:v>
                </c:pt>
                <c:pt idx="1">
                  <c:v>2023г</c:v>
                </c:pt>
                <c:pt idx="2">
                  <c:v>2024г</c:v>
                </c:pt>
                <c:pt idx="3">
                  <c:v>2025г</c:v>
                </c:pt>
                <c:pt idx="4">
                  <c:v>2026г</c:v>
                </c:pt>
              </c:strCache>
            </c:strRef>
          </c:cat>
          <c:val>
            <c:numRef>
              <c:f>4</c:f>
              <c:numCache>
                <c:formatCode>General</c:formatCode>
                <c:ptCount val="5"/>
                <c:pt idx="0">
                  <c:v>0.2</c:v>
                </c:pt>
                <c:pt idx="1">
                  <c:v>0.1</c:v>
                </c:pt>
                <c:pt idx="2">
                  <c:v>0.2</c:v>
                </c:pt>
                <c:pt idx="3">
                  <c:v>0.1</c:v>
                </c:pt>
                <c:pt idx="4">
                  <c:v/>
                </c:pt>
              </c:numCache>
            </c:numRef>
          </c:val>
        </c:ser>
        <c:ser>
          <c:idx val="5"/>
          <c:order val="5"/>
          <c:tx>
            <c:strRef>
              <c:f>label 5</c:f>
              <c:strCache>
                <c:ptCount val="1"/>
                <c:pt idx="0">
                  <c:v>Социальная политика</c:v>
                </c:pt>
              </c:strCache>
            </c:strRef>
          </c:tx>
          <c:spPr>
            <a:solidFill>
              <a:srgbClr val="f79646"/>
            </a:solidFill>
            <a:ln>
              <a:noFill/>
            </a:ln>
          </c:spPr>
          <c:invertIfNegative val="0"/>
          <c:dLbls>
            <c:showLegendKey val="0"/>
            <c:showVal val="0"/>
            <c:showCatName val="0"/>
            <c:showSerName val="0"/>
            <c:showPercent val="0"/>
            <c:showLeaderLines val="0"/>
          </c:dLbls>
          <c:cat>
            <c:strRef>
              <c:f>categories</c:f>
              <c:strCache>
                <c:ptCount val="5"/>
                <c:pt idx="0">
                  <c:v>2022г</c:v>
                </c:pt>
                <c:pt idx="1">
                  <c:v>2023г</c:v>
                </c:pt>
                <c:pt idx="2">
                  <c:v>2024г</c:v>
                </c:pt>
                <c:pt idx="3">
                  <c:v>2025г</c:v>
                </c:pt>
                <c:pt idx="4">
                  <c:v>2026г</c:v>
                </c:pt>
              </c:strCache>
            </c:strRef>
          </c:cat>
          <c:val>
            <c:numRef>
              <c:f>5</c:f>
              <c:numCache>
                <c:formatCode>General</c:formatCode>
                <c:ptCount val="5"/>
                <c:pt idx="0">
                  <c:v>1.7</c:v>
                </c:pt>
                <c:pt idx="1">
                  <c:v>2</c:v>
                </c:pt>
                <c:pt idx="2">
                  <c:v>2.5</c:v>
                </c:pt>
                <c:pt idx="3">
                  <c:v>5</c:v>
                </c:pt>
                <c:pt idx="4">
                  <c:v>5</c:v>
                </c:pt>
              </c:numCache>
            </c:numRef>
          </c:val>
        </c:ser>
        <c:gapWidth val="150"/>
        <c:shape val="box"/>
        <c:axId val="32841997"/>
        <c:axId val="34911266"/>
        <c:axId val="0"/>
      </c:bar3DChart>
      <c:catAx>
        <c:axId val="32841997"/>
        <c:scaling>
          <c:orientation val="minMax"/>
        </c:scaling>
        <c:delete val="0"/>
        <c:axPos val="b"/>
        <c:numFmt formatCode="DD/MM/YYYY" sourceLinked="1"/>
        <c:majorTickMark val="out"/>
        <c:minorTickMark val="none"/>
        <c:tickLblPos val="low"/>
        <c:spPr>
          <a:ln w="3240">
            <a:solidFill>
              <a:srgbClr val="000000"/>
            </a:solidFill>
            <a:round/>
          </a:ln>
        </c:spPr>
        <c:txPr>
          <a:bodyPr/>
          <a:p>
            <a:pPr>
              <a:defRPr b="1" sz="1197" spc="-1" strike="noStrike">
                <a:solidFill>
                  <a:srgbClr val="000000"/>
                </a:solidFill>
                <a:uFill>
                  <a:solidFill>
                    <a:srgbClr val="ffffff"/>
                  </a:solidFill>
                </a:uFill>
                <a:latin typeface="Arial Cyr"/>
                <a:ea typeface="Arial Cyr"/>
              </a:defRPr>
            </a:pPr>
          </a:p>
        </c:txPr>
        <c:crossAx val="34911266"/>
        <c:crosses val="autoZero"/>
        <c:auto val="1"/>
        <c:lblAlgn val="ctr"/>
        <c:lblOffset val="100"/>
      </c:catAx>
      <c:valAx>
        <c:axId val="34911266"/>
        <c:scaling>
          <c:orientation val="minMax"/>
        </c:scaling>
        <c:delete val="0"/>
        <c:axPos val="l"/>
        <c:majorGridlines>
          <c:spPr>
            <a:ln w="3240">
              <a:solidFill>
                <a:srgbClr val="000000"/>
              </a:solidFill>
              <a:round/>
            </a:ln>
          </c:spPr>
        </c:majorGridlines>
        <c:numFmt formatCode="0.0" sourceLinked="0"/>
        <c:majorTickMark val="out"/>
        <c:minorTickMark val="none"/>
        <c:tickLblPos val="nextTo"/>
        <c:spPr>
          <a:ln w="3240">
            <a:solidFill>
              <a:srgbClr val="000000"/>
            </a:solidFill>
            <a:round/>
          </a:ln>
        </c:spPr>
        <c:txPr>
          <a:bodyPr/>
          <a:p>
            <a:pPr>
              <a:defRPr b="1" sz="1197" spc="-1" strike="noStrike">
                <a:solidFill>
                  <a:srgbClr val="000000"/>
                </a:solidFill>
                <a:uFill>
                  <a:solidFill>
                    <a:srgbClr val="ffffff"/>
                  </a:solidFill>
                </a:uFill>
                <a:latin typeface="Arial Cyr"/>
                <a:ea typeface="Arial Cyr"/>
              </a:defRPr>
            </a:pPr>
          </a:p>
        </c:txPr>
        <c:crossAx val="32841997"/>
        <c:crosses val="autoZero"/>
        <c:crossBetween val="midCat"/>
      </c:valAx>
      <c:spPr>
        <a:solidFill>
          <a:srgbClr val="00ffff"/>
        </a:solidFill>
        <a:ln w="12600">
          <a:solidFill>
            <a:srgbClr val="808080"/>
          </a:solidFill>
          <a:round/>
        </a:ln>
      </c:spPr>
    </c:plotArea>
    <c:legend>
      <c:legendPos val="r"/>
      <c:layout>
        <c:manualLayout>
          <c:xMode val="edge"/>
          <c:yMode val="edge"/>
          <c:x val="0.6655625"/>
          <c:y val="0.00655555555555556"/>
        </c:manualLayout>
      </c:layout>
      <c:overlay val="0"/>
      <c:spPr>
        <a:noFill/>
        <a:ln w="3240">
          <a:solidFill>
            <a:srgbClr val="000000"/>
          </a:solidFill>
          <a:round/>
        </a:ln>
      </c:spPr>
    </c:legend>
    <c:plotVisOnly val="1"/>
    <c:dispBlanksAs val="gap"/>
  </c:chart>
  <c:spPr>
    <a:noFill/>
    <a:ln>
      <a:noFill/>
    </a:ln>
  </c:sp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en-US"/>
  <c:roundedCorners val="0"/>
  <c:chart>
    <c:view3D>
      <c:rotX val="15"/>
      <c:rotY val="20"/>
      <c:rAngAx val="1"/>
      <c:perspective val="30"/>
    </c:view3D>
    <c:floor>
      <c:spPr>
        <a:solidFill>
          <a:srgbClr val="c0c0c0"/>
        </a:solidFill>
        <a:ln w="3240">
          <a:solidFill>
            <a:srgbClr val="000000"/>
          </a:solidFill>
          <a:round/>
        </a:ln>
      </c:spPr>
    </c:floor>
    <c:backWall>
      <c:spPr>
        <a:solidFill>
          <a:srgbClr val="00ffff"/>
        </a:solidFill>
        <a:ln w="12600">
          <a:solidFill>
            <a:srgbClr val="808080"/>
          </a:solidFill>
          <a:round/>
        </a:ln>
      </c:spPr>
    </c:backWall>
    <c:plotArea>
      <c:bar3DChart>
        <c:barDir val="col"/>
        <c:grouping val="clustered"/>
        <c:varyColors val="0"/>
        <c:ser>
          <c:idx val="0"/>
          <c:order val="0"/>
          <c:tx>
            <c:strRef>
              <c:f>label 0</c:f>
              <c:strCache>
                <c:ptCount val="1"/>
                <c:pt idx="0">
                  <c:v>Жилищно-коммунальное хозяйство</c:v>
                </c:pt>
              </c:strCache>
            </c:strRef>
          </c:tx>
          <c:spPr>
            <a:solidFill>
              <a:srgbClr val="9999ff"/>
            </a:solidFill>
            <a:ln w="12600">
              <a:solidFill>
                <a:srgbClr val="000000"/>
              </a:solidFill>
              <a:round/>
            </a:ln>
          </c:spPr>
          <c:invertIfNegative val="0"/>
          <c:dLbls>
            <c:showLegendKey val="0"/>
            <c:showVal val="0"/>
            <c:showCatName val="0"/>
            <c:showSerName val="0"/>
            <c:showPercent val="0"/>
            <c:showLeaderLines val="0"/>
          </c:dLbls>
          <c:cat>
            <c:strRef>
              <c:f>categories</c:f>
              <c:strCache>
                <c:ptCount val="5"/>
                <c:pt idx="0">
                  <c:v>2022г</c:v>
                </c:pt>
                <c:pt idx="1">
                  <c:v>2023г</c:v>
                </c:pt>
                <c:pt idx="2">
                  <c:v>2024г</c:v>
                </c:pt>
                <c:pt idx="3">
                  <c:v>2025г</c:v>
                </c:pt>
                <c:pt idx="4">
                  <c:v>2026г</c:v>
                </c:pt>
              </c:strCache>
            </c:strRef>
          </c:cat>
          <c:val>
            <c:numRef>
              <c:f>0</c:f>
              <c:numCache>
                <c:formatCode>General</c:formatCode>
                <c:ptCount val="5"/>
                <c:pt idx="0">
                  <c:v>2182.24</c:v>
                </c:pt>
                <c:pt idx="1">
                  <c:v>371.46</c:v>
                </c:pt>
                <c:pt idx="2">
                  <c:v>285.33</c:v>
                </c:pt>
                <c:pt idx="3">
                  <c:v>285.33</c:v>
                </c:pt>
                <c:pt idx="4">
                  <c:v>260.23</c:v>
                </c:pt>
              </c:numCache>
            </c:numRef>
          </c:val>
        </c:ser>
        <c:ser>
          <c:idx val="1"/>
          <c:order val="1"/>
          <c:tx>
            <c:strRef>
              <c:f>label 1</c:f>
              <c:strCache>
                <c:ptCount val="1"/>
                <c:pt idx="0">
                  <c:v>Культура, кинематография</c:v>
                </c:pt>
              </c:strCache>
            </c:strRef>
          </c:tx>
          <c:spPr>
            <a:solidFill>
              <a:srgbClr val="993366"/>
            </a:solidFill>
            <a:ln w="12600">
              <a:solidFill>
                <a:srgbClr val="000000"/>
              </a:solidFill>
              <a:round/>
            </a:ln>
          </c:spPr>
          <c:invertIfNegative val="0"/>
          <c:dLbls>
            <c:showLegendKey val="0"/>
            <c:showVal val="0"/>
            <c:showCatName val="0"/>
            <c:showSerName val="0"/>
            <c:showPercent val="0"/>
            <c:showLeaderLines val="0"/>
          </c:dLbls>
          <c:cat>
            <c:strRef>
              <c:f>categories</c:f>
              <c:strCache>
                <c:ptCount val="5"/>
                <c:pt idx="0">
                  <c:v>2022г</c:v>
                </c:pt>
                <c:pt idx="1">
                  <c:v>2023г</c:v>
                </c:pt>
                <c:pt idx="2">
                  <c:v>2024г</c:v>
                </c:pt>
                <c:pt idx="3">
                  <c:v>2025г</c:v>
                </c:pt>
                <c:pt idx="4">
                  <c:v>2026г</c:v>
                </c:pt>
              </c:strCache>
            </c:strRef>
          </c:cat>
          <c:val>
            <c:numRef>
              <c:f>1</c:f>
              <c:numCache>
                <c:formatCode>General</c:formatCode>
                <c:ptCount val="5"/>
                <c:pt idx="0">
                  <c:v>14</c:v>
                </c:pt>
                <c:pt idx="1">
                  <c:v>3.3</c:v>
                </c:pt>
                <c:pt idx="2">
                  <c:v>3.3</c:v>
                </c:pt>
                <c:pt idx="3">
                  <c:v>3.3</c:v>
                </c:pt>
                <c:pt idx="4">
                  <c:v>3.3</c:v>
                </c:pt>
              </c:numCache>
            </c:numRef>
          </c:val>
        </c:ser>
        <c:ser>
          <c:idx val="2"/>
          <c:order val="2"/>
          <c:tx>
            <c:strRef>
              <c:f>label 2</c:f>
              <c:strCache>
                <c:ptCount val="1"/>
                <c:pt idx="0">
                  <c:v>Социальная политика</c:v>
                </c:pt>
              </c:strCache>
            </c:strRef>
          </c:tx>
          <c:spPr>
            <a:solidFill>
              <a:srgbClr val="ffffcc"/>
            </a:solidFill>
            <a:ln w="12600">
              <a:solidFill>
                <a:srgbClr val="000000"/>
              </a:solidFill>
              <a:round/>
            </a:ln>
          </c:spPr>
          <c:invertIfNegative val="0"/>
          <c:dLbls>
            <c:showLegendKey val="0"/>
            <c:showVal val="0"/>
            <c:showCatName val="0"/>
            <c:showSerName val="0"/>
            <c:showPercent val="0"/>
            <c:showLeaderLines val="0"/>
          </c:dLbls>
          <c:cat>
            <c:strRef>
              <c:f>categories</c:f>
              <c:strCache>
                <c:ptCount val="5"/>
                <c:pt idx="0">
                  <c:v>2022г</c:v>
                </c:pt>
                <c:pt idx="1">
                  <c:v>2023г</c:v>
                </c:pt>
                <c:pt idx="2">
                  <c:v>2024г</c:v>
                </c:pt>
                <c:pt idx="3">
                  <c:v>2025г</c:v>
                </c:pt>
                <c:pt idx="4">
                  <c:v>2026г</c:v>
                </c:pt>
              </c:strCache>
            </c:strRef>
          </c:cat>
          <c:val>
            <c:numRef>
              <c:f>2</c:f>
              <c:numCache>
                <c:formatCode>General</c:formatCode>
                <c:ptCount val="5"/>
                <c:pt idx="0">
                  <c:v>139.76</c:v>
                </c:pt>
                <c:pt idx="1">
                  <c:v>146.1</c:v>
                </c:pt>
                <c:pt idx="2">
                  <c:v>146.1</c:v>
                </c:pt>
                <c:pt idx="3">
                  <c:v>146.1</c:v>
                </c:pt>
                <c:pt idx="4">
                  <c:v/>
                </c:pt>
              </c:numCache>
            </c:numRef>
          </c:val>
        </c:ser>
        <c:ser>
          <c:idx val="3"/>
          <c:order val="3"/>
          <c:tx>
            <c:strRef>
              <c:f>label 3</c:f>
              <c:strCache>
                <c:ptCount val="1"/>
                <c:pt idx="0">
                  <c:v>Содержание работников органов местного самоуправления</c:v>
                </c:pt>
              </c:strCache>
            </c:strRef>
          </c:tx>
          <c:spPr>
            <a:solidFill>
              <a:srgbClr val="ccffff"/>
            </a:solidFill>
            <a:ln w="12600">
              <a:solidFill>
                <a:srgbClr val="000000"/>
              </a:solidFill>
              <a:round/>
            </a:ln>
          </c:spPr>
          <c:invertIfNegative val="0"/>
          <c:dLbls>
            <c:showLegendKey val="0"/>
            <c:showVal val="0"/>
            <c:showCatName val="0"/>
            <c:showSerName val="0"/>
            <c:showPercent val="0"/>
            <c:showLeaderLines val="0"/>
          </c:dLbls>
          <c:cat>
            <c:strRef>
              <c:f>categories</c:f>
              <c:strCache>
                <c:ptCount val="5"/>
                <c:pt idx="0">
                  <c:v>2022г</c:v>
                </c:pt>
                <c:pt idx="1">
                  <c:v>2023г</c:v>
                </c:pt>
                <c:pt idx="2">
                  <c:v>2024г</c:v>
                </c:pt>
                <c:pt idx="3">
                  <c:v>2025г</c:v>
                </c:pt>
                <c:pt idx="4">
                  <c:v>2026г</c:v>
                </c:pt>
              </c:strCache>
            </c:strRef>
          </c:cat>
          <c:val>
            <c:numRef>
              <c:f>3</c:f>
              <c:numCache>
                <c:formatCode>General</c:formatCode>
                <c:ptCount val="5"/>
                <c:pt idx="0">
                  <c:v>1953.5</c:v>
                </c:pt>
                <c:pt idx="1">
                  <c:v>2130.97</c:v>
                </c:pt>
                <c:pt idx="2">
                  <c:v>5894.12</c:v>
                </c:pt>
                <c:pt idx="3">
                  <c:v>1557.2</c:v>
                </c:pt>
                <c:pt idx="4">
                  <c:v>1528.79</c:v>
                </c:pt>
              </c:numCache>
            </c:numRef>
          </c:val>
        </c:ser>
        <c:ser>
          <c:idx val="4"/>
          <c:order val="4"/>
          <c:tx>
            <c:strRef>
              <c:f>label 4</c:f>
              <c:strCache>
                <c:ptCount val="1"/>
                <c:pt idx="0">
                  <c:v>Расходы местного бюджета</c:v>
                </c:pt>
              </c:strCache>
            </c:strRef>
          </c:tx>
          <c:spPr>
            <a:solidFill>
              <a:srgbClr val="660066"/>
            </a:solidFill>
            <a:ln w="12600">
              <a:solidFill>
                <a:srgbClr val="000000"/>
              </a:solidFill>
              <a:round/>
            </a:ln>
          </c:spPr>
          <c:invertIfNegative val="0"/>
          <c:dLbls>
            <c:showLegendKey val="0"/>
            <c:showVal val="0"/>
            <c:showCatName val="0"/>
            <c:showSerName val="0"/>
            <c:showPercent val="0"/>
            <c:showLeaderLines val="0"/>
          </c:dLbls>
          <c:cat>
            <c:strRef>
              <c:f>categories</c:f>
              <c:strCache>
                <c:ptCount val="5"/>
                <c:pt idx="0">
                  <c:v>2022г</c:v>
                </c:pt>
                <c:pt idx="1">
                  <c:v>2023г</c:v>
                </c:pt>
                <c:pt idx="2">
                  <c:v>2024г</c:v>
                </c:pt>
                <c:pt idx="3">
                  <c:v>2025г</c:v>
                </c:pt>
                <c:pt idx="4">
                  <c:v>2026г</c:v>
                </c:pt>
              </c:strCache>
            </c:strRef>
          </c:cat>
          <c:val>
            <c:numRef>
              <c:f>4</c:f>
              <c:numCache>
                <c:formatCode>General</c:formatCode>
                <c:ptCount val="5"/>
                <c:pt idx="0">
                  <c:v>7952.23</c:v>
                </c:pt>
                <c:pt idx="1">
                  <c:v>6765.39</c:v>
                </c:pt>
                <c:pt idx="2">
                  <c:v>5322.87</c:v>
                </c:pt>
                <c:pt idx="3">
                  <c:v>2845.76</c:v>
                </c:pt>
                <c:pt idx="4">
                  <c:v>2299.93</c:v>
                </c:pt>
              </c:numCache>
            </c:numRef>
          </c:val>
        </c:ser>
        <c:gapWidth val="150"/>
        <c:shape val="box"/>
        <c:axId val="62899672"/>
        <c:axId val="21133865"/>
        <c:axId val="0"/>
      </c:bar3DChart>
      <c:catAx>
        <c:axId val="62899672"/>
        <c:scaling>
          <c:orientation val="minMax"/>
        </c:scaling>
        <c:delete val="0"/>
        <c:axPos val="b"/>
        <c:numFmt formatCode="DD/MM/YYYY" sourceLinked="1"/>
        <c:majorTickMark val="out"/>
        <c:minorTickMark val="none"/>
        <c:tickLblPos val="low"/>
        <c:spPr>
          <a:ln w="3240">
            <a:solidFill>
              <a:srgbClr val="000000"/>
            </a:solidFill>
            <a:round/>
          </a:ln>
        </c:spPr>
        <c:txPr>
          <a:bodyPr/>
          <a:p>
            <a:pPr>
              <a:defRPr b="1" sz="1197" spc="-1" strike="noStrike">
                <a:solidFill>
                  <a:srgbClr val="000000"/>
                </a:solidFill>
                <a:uFill>
                  <a:solidFill>
                    <a:srgbClr val="ffffff"/>
                  </a:solidFill>
                </a:uFill>
                <a:latin typeface="Arial Cyr"/>
                <a:ea typeface="Arial Cyr"/>
              </a:defRPr>
            </a:pPr>
          </a:p>
        </c:txPr>
        <c:crossAx val="21133865"/>
        <c:crosses val="autoZero"/>
        <c:auto val="1"/>
        <c:lblAlgn val="ctr"/>
        <c:lblOffset val="100"/>
      </c:catAx>
      <c:valAx>
        <c:axId val="21133865"/>
        <c:scaling>
          <c:orientation val="minMax"/>
        </c:scaling>
        <c:delete val="0"/>
        <c:axPos val="l"/>
        <c:majorGridlines>
          <c:spPr>
            <a:ln w="3240">
              <a:solidFill>
                <a:srgbClr val="000000"/>
              </a:solidFill>
              <a:round/>
            </a:ln>
          </c:spPr>
        </c:majorGridlines>
        <c:numFmt formatCode="0.00" sourceLinked="0"/>
        <c:majorTickMark val="out"/>
        <c:minorTickMark val="none"/>
        <c:tickLblPos val="nextTo"/>
        <c:spPr>
          <a:ln w="3240">
            <a:solidFill>
              <a:srgbClr val="000000"/>
            </a:solidFill>
            <a:round/>
          </a:ln>
        </c:spPr>
        <c:txPr>
          <a:bodyPr/>
          <a:p>
            <a:pPr>
              <a:defRPr b="1" sz="1197" spc="-1" strike="noStrike">
                <a:solidFill>
                  <a:srgbClr val="000000"/>
                </a:solidFill>
                <a:uFill>
                  <a:solidFill>
                    <a:srgbClr val="ffffff"/>
                  </a:solidFill>
                </a:uFill>
                <a:latin typeface="Arial Cyr"/>
                <a:ea typeface="Arial Cyr"/>
              </a:defRPr>
            </a:pPr>
          </a:p>
        </c:txPr>
        <c:crossAx val="62899672"/>
        <c:crosses val="autoZero"/>
        <c:crossBetween val="midCat"/>
      </c:valAx>
      <c:spPr>
        <a:solidFill>
          <a:srgbClr val="00ffff"/>
        </a:solidFill>
        <a:ln w="12600">
          <a:solidFill>
            <a:srgbClr val="808080"/>
          </a:solidFill>
          <a:round/>
        </a:ln>
      </c:spPr>
    </c:plotArea>
    <c:legend>
      <c:legendPos val="r"/>
      <c:layout>
        <c:manualLayout>
          <c:xMode val="edge"/>
          <c:yMode val="edge"/>
          <c:x val="0.678"/>
          <c:y val="0.0336666666666667"/>
        </c:manualLayout>
      </c:layout>
      <c:overlay val="0"/>
      <c:spPr>
        <a:noFill/>
        <a:ln w="3240">
          <a:solidFill>
            <a:srgbClr val="000000"/>
          </a:solidFill>
          <a:round/>
        </a:ln>
      </c:spPr>
    </c:legend>
    <c:plotVisOnly val="1"/>
    <c:dispBlanksAs val="gap"/>
  </c:chart>
  <c:spPr>
    <a:noFill/>
    <a:ln>
      <a:noFill/>
    </a:ln>
  </c:sp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118831A-9CC0-4CA6-AD75-992997CD15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2152</TotalTime>
  <Application>LibreOffice/5.1.2.2$Windows_x86 LibreOffice_project/d3bf12ecb743fc0d20e0be0c58ca359301eb705f</Application>
  <Pages>12</Pages>
  <Words>1121</Words>
  <Characters>7323</Characters>
  <CharactersWithSpaces>8270</CharactersWithSpaces>
  <Paragraphs>498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2014-12-04T05:49:00Z</dcterms:created>
  <dc:creator>пользователь</dc:creator>
  <dc:description/>
  <dc:language>ru-RU</dc:language>
  <cp:lastModifiedBy/>
  <cp:lastPrinted>2016-12-13T05:45:00Z</cp:lastPrinted>
  <dcterms:modified xsi:type="dcterms:W3CDTF">2023-12-28T08:55:52Z</dcterms:modified>
  <cp:revision>414</cp:revision>
  <dc:subject/>
  <dc:title>Уважаемые жители Ивантеевского муниципального района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