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6.jpeg" ContentType="image/jpeg"/>
  <Override PartName="/word/media/image4.png" ContentType="image/png"/>
  <Override PartName="/word/media/image7.png" ContentType="image/png"/>
  <Override PartName="/word/media/image5.jpeg" ContentType="image/jpeg"/>
  <Override PartName="/word/media/image8.jpeg" ContentType="image/jpeg"/>
  <Override PartName="/word/media/image9.png" ContentType="image/png"/>
  <Override PartName="/word/media/image10.emf" ContentType="image/x-emf"/>
  <Override PartName="/word/media/image11.emf" ContentType="image/x-emf"/>
  <Override PartName="/word/media/image12.emf" ContentType="image/x-emf"/>
  <Override PartName="/word/media/image13.png" ContentType="image/png"/>
  <Override PartName="/word/media/image14.emf" ContentType="image/x-emf"/>
  <Override PartName="/word/media/image15.emf" ContentType="image/x-emf"/>
  <Override PartName="/word/media/image16.emf" ContentType="image/x-emf"/>
  <Override PartName="/word/media/image17.emf" ContentType="image/x-emf"/>
  <Override PartName="/word/media/image18.emf" ContentType="image/x-emf"/>
  <Override PartName="/word/media/image19.jpeg" ContentType="image/jpeg"/>
  <Override PartName="/word/media/image20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_____Microsoft_Office_Excel2.xlsx" ContentType="application/vnd.openxmlformats-officedocument.spreadsheetml.sheet"/>
  <Override PartName="/word/embeddings/oleObject8.bin" ContentType="application/vnd.openxmlformats-officedocument.oleObject"/>
  <Override PartName="/word/embeddings/_____Microsoft_Office_Excel1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rPr/>
      </w:pPr>
      <w:r>
        <w:rPr/>
      </w:r>
    </w:p>
    <w:p>
      <w:pPr>
        <w:pStyle w:val="Normal"/>
        <w:spacing w:lineRule="auto" w:line="240"/>
        <w:ind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97155" simplePos="0" locked="0" layoutInCell="1" allowOverlap="1" relativeHeight="7">
                <wp:simplePos x="0" y="0"/>
                <wp:positionH relativeFrom="column">
                  <wp:posOffset>-471805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17145" b="17145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700">
                          <a:solidFill>
                            <a:srgbClr val="C2D69B"/>
                          </a:solidFill>
                        </a:ln>
                        <a:effectLst>
                          <a:outerShdw dist="24130" dir="2700000">
                            <a:srgbClr val="4E6128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1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1"/>
                              <w:spacing w:before="0" w:after="20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C2D69B" strokeweight="1pt" fillcolor="#FFFFFF" style="position:absolute;rotation:0;width:557.1pt;height:148.2pt;mso-wrap-distance-left:9pt;mso-wrap-distance-right:9pt;mso-wrap-distance-top:0pt;mso-wrap-distance-bottom:0pt;margin-top:5.35pt;mso-position-vertical-relative:text;margin-left:-37.15pt;mso-position-horizontal-relative:text">
                <v:shadow on="t" color="#4E6128" offset="1.35pt,1.35pt"/>
                <v:fill type="gradient" angle="-180" color2="#D6E3BC"/>
                <v:textbox>
                  <w:txbxContent>
                    <w:p>
                      <w:pPr>
                        <w:pStyle w:val="Style21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1"/>
                        <w:spacing w:before="0" w:after="20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/>
      </w:r>
      <w:r>
        <mc:AlternateContent>
          <mc:Choice Requires="wps">
            <w:drawing>
              <wp:inline distT="0" distB="0" distL="114300" distR="114300">
                <wp:extent cx="9035415" cy="94678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946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74.55pt;mso-wrap-distance-left:9pt;mso-wrap-distance-right:9pt;mso-wrap-distance-top:0pt;mso-wrap-distance-bottom:0pt;margin-top:0pt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97155" simplePos="0" locked="0" layoutInCell="1" allowOverlap="1" relativeHeight="6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17145" b="17145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/>
                        </a:gradFill>
                        <a:ln w="12700">
                          <a:solidFill>
                            <a:srgbClr val="C2D69B"/>
                          </a:solidFill>
                        </a:ln>
                        <a:effectLst>
                          <a:outerShdw dist="24130" dir="2700000">
                            <a:srgbClr val="4E6128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1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>к решению «Совета Бартеневского муниципального образования 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  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 xml:space="preserve">  декабря 2023 года «О бюджете Бартеневского муниципального образования на 2024 год и на плановый период 2025-2026 годов»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C2D69B" strokeweight="1pt" fillcolor="#FFFFFF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4E6128" offset="1.35pt,1.35pt"/>
                <v:fill type="gradient" angle="-180" color2="#D6E3BC"/>
                <v:textbox>
                  <w:txbxContent>
                    <w:p>
                      <w:pPr>
                        <w:pStyle w:val="Style21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>к решению «Совета Бартеневского муниципального образования №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>22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 xml:space="preserve">  от 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b/>
                          <w:color w:val="17365D"/>
                          <w:sz w:val="32"/>
                          <w:szCs w:val="32"/>
                        </w:rPr>
                        <w:t xml:space="preserve">  декабря 2023 года «О бюджете Бартеневского муниципального образования на 2024 год и на плановый период 2025-2026 годов»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8">
                <wp:simplePos x="0" y="0"/>
                <wp:positionH relativeFrom="column">
                  <wp:posOffset>635</wp:posOffset>
                </wp:positionH>
                <wp:positionV relativeFrom="paragraph">
                  <wp:posOffset>185420</wp:posOffset>
                </wp:positionV>
                <wp:extent cx="5930265" cy="362013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3620135"/>
                        </a:xfrm>
                        <a:prstGeom prst="rect"/>
                        <a:solidFill>
                          <a:srgbClr val="EAF1DD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1"/>
                              <w:shd w:val="clear" w:color="auto" w:fill="EAF1DD" w:themeFill="accent3" w:themeFillTint="33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EAF1DD" strokecolor="#365F91" strokeweight="0pt" style="position:absolute;rotation:0;width:466.95pt;height:285.05pt;mso-wrap-distance-left:9pt;mso-wrap-distance-right:9pt;mso-wrap-distance-top:0pt;mso-wrap-distance-bottom:0pt;margin-top:14.6pt;mso-position-vertical-relative:text;margin-left:0.05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1"/>
                        <w:shd w:val="clear" w:color="auto" w:fill="EAF1DD" w:themeFill="accent3" w:themeFillTint="33"/>
                        <w:spacing w:lineRule="auto" w:line="240" w:before="0" w:after="200"/>
                        <w:jc w:val="center"/>
                        <w:rPr/>
                      </w:pPr>
                      <w:r>
                        <w:rPr/>
                        <w:pict>
                          <v:rect id="shape_0" stroked="f" style="position:absolute;margin-left:0pt;margin-top:-240.05pt;width:424.45pt;height:239.95pt;mso-position-vertical:top">
                            <v:imagedata r:id="rId2" o:detectmouseclick="t"/>
                            <w10:wrap type="none"/>
                            <v:stroke color="#3465a4" joinstyle="round" endcap="flat"/>
                          </v:rect>
                        </w:pic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inline distT="0" distB="0" distL="0" distR="0">
                <wp:extent cx="5391785" cy="3048635"/>
                <wp:effectExtent l="0" t="0" r="0" b="0"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391000" cy="304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40.05pt;width:424.45pt;height:239.95pt;mso-position-vertical:top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Уважаемые жители Бартеневского муниципального образования.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8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>
      <w:pPr>
        <w:pStyle w:val="Normal"/>
        <w:spacing w:lineRule="auto" w:line="240"/>
        <w:ind w:left="-851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19050" distR="0">
            <wp:extent cx="6210300" cy="3295650"/>
            <wp:effectExtent l="0" t="0" r="0" b="0"/>
            <wp:docPr id="7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color w:val="FF0000"/>
          <w:sz w:val="32"/>
          <w:szCs w:val="32"/>
        </w:rPr>
        <w:t>Что такое бюджет?</w:t>
      </w:r>
    </w:p>
    <w:p>
      <w:pPr>
        <w:pStyle w:val="Normal"/>
        <w:spacing w:lineRule="auto" w:line="240"/>
        <w:ind w:left="-851" w:hanging="0"/>
        <w:jc w:val="center"/>
        <w:rPr/>
      </w:pPr>
      <w:r>
        <w:rPr/>
        <mc:AlternateContent>
          <mc:Choice Requires="wps">
            <w:drawing>
              <wp:inline distT="0" distB="0" distL="0" distR="0">
                <wp:extent cx="6315710" cy="3734435"/>
                <wp:effectExtent l="0" t="0" r="0" b="0"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6315120" cy="3733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294.05pt;width:497.2pt;height:293.95pt;mso-position-vertical:top">
                <v:imagedata r:id="rId4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Бюджет Бартеневского муниципального образования  </w:t>
      </w:r>
    </w:p>
    <w:p>
      <w:pPr>
        <w:pStyle w:val="Normal"/>
        <w:spacing w:lineRule="auto" w:line="24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1482" w:type="dxa"/>
        <w:jc w:val="left"/>
        <w:tblInd w:w="-7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4677"/>
        <w:gridCol w:w="1418"/>
        <w:gridCol w:w="1135"/>
        <w:gridCol w:w="1417"/>
        <w:gridCol w:w="1418"/>
        <w:gridCol w:w="1416"/>
      </w:tblGrid>
      <w:tr>
        <w:trPr>
          <w:trHeight w:val="240" w:hRule="atLeast"/>
        </w:trPr>
        <w:tc>
          <w:tcPr>
            <w:tcW w:w="467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2023 год</w:t>
            </w:r>
          </w:p>
        </w:tc>
        <w:tc>
          <w:tcPr>
            <w:tcW w:w="42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300" w:hRule="atLeast"/>
        </w:trPr>
        <w:tc>
          <w:tcPr>
            <w:tcW w:w="46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3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2025 год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2026 год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8583,7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50458,8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6681,9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3609,9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3732,2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3990,0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5429,1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3356,0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3390,6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3496,3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4593,7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45029,7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3325,9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235,9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9268,1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50327,8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6681,9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3609,9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3732,2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175,0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2860,3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3389,8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2191,1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2148,9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2088,7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167,5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3605,0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3807,2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3730,5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737,0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820,4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2505,0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42840,3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490,9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350,0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167,4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127,3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130,6</w:t>
            </w:r>
          </w:p>
        </w:tc>
      </w:tr>
      <w:tr>
        <w:trPr/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-684,4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-131,0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color w:val="FF0000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color w:val="FF0000"/>
          <w:sz w:val="32"/>
          <w:szCs w:val="32"/>
        </w:rPr>
      </w:pPr>
      <w:r>
        <w:rPr>
          <w:rFonts w:cs="Times New Roman" w:ascii="Times New Roman" w:hAnsi="Times New Roman"/>
          <w:b/>
          <w:color w:val="FF0000"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 w:cs="Times New Roman"/>
          <w:b/>
          <w:b/>
          <w:bCs/>
          <w:color w:val="404040"/>
          <w:sz w:val="32"/>
          <w:szCs w:val="32"/>
        </w:rPr>
      </w:pP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cs="Times New Roman"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cs="Times New Roman"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cs="Times New Roman"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cs="Times New Roman"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cs="Times New Roman"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cs="Times New Roman"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cs="Times New Roman"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cs="Times New Roman"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cs="Times New Roman"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cs="Times New Roman"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иб</w:t>
      </w:r>
      <w:r>
        <w:rPr>
          <w:rFonts w:cs="Times New Roman"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cs="Times New Roman"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cs="Times New Roman"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cs="Times New Roman"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cs="Times New Roman"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tbl>
      <w:tblPr>
        <w:tblStyle w:val="a3"/>
        <w:tblW w:w="9995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3347"/>
        <w:gridCol w:w="3328"/>
        <w:gridCol w:w="3320"/>
      </w:tblGrid>
      <w:tr>
        <w:trPr/>
        <w:tc>
          <w:tcPr>
            <w:tcW w:w="9995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налог на доходы физических лиц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</w:rPr>
              <w:t>- акцизы по нефтепродуктам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eastAsia="Times New Roman" w:ascii="Times New Roman" w:hAnsi="Times New Roman"/>
                <w:sz w:val="24"/>
                <w:szCs w:val="24"/>
              </w:rPr>
              <w:t xml:space="preserve">единый сельскохозяйственный налог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налог на имущество физических лиц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</w:rPr>
              <w:t>- земельный налог</w:t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bCs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sz w:val="32"/>
                <w:szCs w:val="32"/>
              </w:rPr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 w:ascii="Times New Roman" w:hAnsi="Times New Roman"/>
                <w:sz w:val="24"/>
                <w:szCs w:val="24"/>
              </w:rPr>
              <w:t>- доходы от использования муниципального имущества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 w:ascii="Times New Roman" w:hAnsi="Times New Roman"/>
                <w:sz w:val="24"/>
                <w:szCs w:val="24"/>
              </w:rPr>
              <w:t>- штрафы за нарушение законодательства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дотации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субсидии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субвенции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tbl>
      <w:tblPr>
        <w:tblStyle w:val="a3"/>
        <w:tblW w:w="999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995"/>
      </w:tblGrid>
      <w:tr>
        <w:trPr/>
        <w:tc>
          <w:tcPr>
            <w:tcW w:w="9995" w:type="dxa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76923C" w:themeColor="accent3" w:themeShade="bf"/>
                <w:sz w:val="32"/>
                <w:szCs w:val="32"/>
              </w:rPr>
            </w:r>
          </w:p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color w:val="4F6228" w:themeColor="accent3" w:themeShade="80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tbl>
      <w:tblPr>
        <w:tblStyle w:val="1-4"/>
        <w:tblpPr w:bottomFromText="0" w:horzAnchor="margin" w:leftFromText="180" w:rightFromText="180" w:tblpX="0" w:tblpY="3406" w:topFromText="0" w:vertAnchor="page"/>
        <w:tblW w:w="10173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43"/>
        <w:gridCol w:w="2835"/>
        <w:gridCol w:w="4395"/>
      </w:tblGrid>
      <w:tr>
        <w:trPr>
          <w:cnfStyle w:val="100000000000"/>
        </w:trPr>
        <w:tc>
          <w:tcPr>
            <w:tcW w:w="2943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2835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4395" w:type="dxa"/>
            <w:tcBorders>
              <w:top w:val="single" w:sz="4" w:space="0" w:color="76923C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лат.«Dotatio» –дар, пожертвование)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2259" w:hRule="atLeast"/>
          <w:cnfStyle w:val="00000001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финансирование«переданных» другим публично-правовым образованиям полномочий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продукты(по списку)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/>
        <w:drawing>
          <wp:inline distT="0" distB="0" distL="19050" distR="9525">
            <wp:extent cx="4791075" cy="2143125"/>
            <wp:effectExtent l="0" t="0" r="0" b="0"/>
            <wp:docPr id="9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878" t="30207" r="29099" b="2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/>
          <w:b/>
          <w:color w:val="5F497A" w:themeColor="accent4" w:themeShade="bf"/>
          <w:sz w:val="32"/>
          <w:szCs w:val="32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6200775" cy="4591050"/>
            <wp:effectExtent l="0" t="0" r="0" b="0"/>
            <wp:docPr id="10" name="Изображение2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Налоги, зачисляемые в бюджет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в 2024 году</w:t>
      </w:r>
    </w:p>
    <w:tbl>
      <w:tblPr>
        <w:tblW w:w="988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90"/>
        <w:gridCol w:w="3190"/>
        <w:gridCol w:w="3509"/>
      </w:tblGrid>
      <w:tr>
        <w:trPr/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                    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3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1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1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4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1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1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5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1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1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67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Местный бюджет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/>
              </w:rPr>
            </w:pPr>
            <w:r>
              <w:rPr/>
              <w:drawing>
                <wp:inline distT="0" distB="0" distL="19050" distR="9525">
                  <wp:extent cx="2276475" cy="1628775"/>
                  <wp:effectExtent l="0" t="0" r="0" b="0"/>
                  <wp:docPr id="1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  <w:t>Структура доходов бюджета Бартеневского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b/>
          <w:bCs/>
          <w:sz w:val="30"/>
          <w:szCs w:val="3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bCs/>
          <w:sz w:val="30"/>
          <w:szCs w:val="30"/>
        </w:rPr>
      </w:pPr>
      <w:r>
        <w:rPr>
          <w:rFonts w:cs="Times New Roman" w:ascii="Times New Roman" w:hAnsi="Times New Roman"/>
          <w:sz w:val="28"/>
          <w:szCs w:val="28"/>
        </w:rPr>
        <w:t>тыс. руб.</w:t>
      </w:r>
    </w:p>
    <w:tbl>
      <w:tblPr>
        <w:tblW w:w="10206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a0"/>
      </w:tblPr>
      <w:tblGrid>
        <w:gridCol w:w="4394"/>
        <w:gridCol w:w="1276"/>
        <w:gridCol w:w="1134"/>
        <w:gridCol w:w="1134"/>
        <w:gridCol w:w="1134"/>
        <w:gridCol w:w="1133"/>
      </w:tblGrid>
      <w:tr>
        <w:trPr>
          <w:trHeight w:val="322" w:hRule="atLeast"/>
        </w:trPr>
        <w:tc>
          <w:tcPr>
            <w:tcW w:w="43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 год</w:t>
            </w:r>
          </w:p>
        </w:tc>
        <w:tc>
          <w:tcPr>
            <w:tcW w:w="340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465" w:hRule="atLeast"/>
        </w:trPr>
        <w:tc>
          <w:tcPr>
            <w:tcW w:w="439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2024год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2799,8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3929,6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3310,6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3345,2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3450,9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480,6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766,0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694,6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702,6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710,7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885,8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824,6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721,5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737,0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820,4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1035,0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557,2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568,3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582,5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55,7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68,6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68,6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68,6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1376,1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1264,0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1268,7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1268,7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1268,7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1190,2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1499,5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45,4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45,4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земельных участков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770,7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1102,6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доходы от сдачи в аренду  имущества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 имущества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2,1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414,5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389,4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4593,7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45029,7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3325,9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219,3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235,9</w:t>
            </w:r>
          </w:p>
        </w:tc>
      </w:tr>
      <w:tr>
        <w:trPr>
          <w:trHeight w:val="322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59,2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58,2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62,2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65,9</w:t>
            </w:r>
          </w:p>
        </w:tc>
        <w:tc>
          <w:tcPr>
            <w:tcW w:w="113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68,4</w:t>
            </w:r>
          </w:p>
        </w:tc>
      </w:tr>
      <w:tr>
        <w:trPr>
          <w:trHeight w:val="322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4429,1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44496,3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3124,9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115,2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138,8</w:t>
            </w:r>
          </w:p>
        </w:tc>
        <w:tc>
          <w:tcPr>
            <w:tcW w:w="113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153,4</w:t>
            </w:r>
          </w:p>
        </w:tc>
        <w:tc>
          <w:tcPr>
            <w:tcW w:w="113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167,5</w:t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360,0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43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76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8583,7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50458,8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6681,9</w:t>
            </w:r>
          </w:p>
        </w:tc>
        <w:tc>
          <w:tcPr>
            <w:tcW w:w="113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3609,9</w:t>
            </w:r>
          </w:p>
        </w:tc>
        <w:tc>
          <w:tcPr>
            <w:tcW w:w="1133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3732,2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0" distR="0">
            <wp:extent cx="6257925" cy="3762375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Бартеневского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численность населения Бартеневского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01.01.2023г. 1003 человек) 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3439"/>
        <w:gridCol w:w="1673"/>
        <w:gridCol w:w="1184"/>
        <w:gridCol w:w="1216"/>
        <w:gridCol w:w="1134"/>
        <w:gridCol w:w="1134"/>
      </w:tblGrid>
      <w:tr>
        <w:trPr>
          <w:trHeight w:val="342" w:hRule="atLeast"/>
        </w:trPr>
        <w:tc>
          <w:tcPr>
            <w:tcW w:w="34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6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1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 год</w:t>
            </w:r>
          </w:p>
        </w:tc>
        <w:tc>
          <w:tcPr>
            <w:tcW w:w="348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742" w:hRule="atLeast"/>
        </w:trPr>
        <w:tc>
          <w:tcPr>
            <w:tcW w:w="343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6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 год</w:t>
            </w:r>
          </w:p>
        </w:tc>
      </w:tr>
      <w:tr>
        <w:trPr>
          <w:trHeight w:val="437" w:hRule="exact"/>
        </w:trPr>
        <w:tc>
          <w:tcPr>
            <w:tcW w:w="3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0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1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8558,0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50308,0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6662,0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3600,0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3721,0</w:t>
            </w:r>
          </w:p>
        </w:tc>
      </w:tr>
      <w:tr>
        <w:trPr>
          <w:trHeight w:val="711" w:hRule="exact"/>
        </w:trPr>
        <w:tc>
          <w:tcPr>
            <w:tcW w:w="3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3978,0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5413,0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3346,0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3381,0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3486,0</w:t>
            </w:r>
          </w:p>
        </w:tc>
      </w:tr>
      <w:tr>
        <w:trPr>
          <w:trHeight w:val="707" w:hRule="exact"/>
        </w:trPr>
        <w:tc>
          <w:tcPr>
            <w:tcW w:w="3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4580,0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44895,0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3316,0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219,0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235,0</w:t>
            </w:r>
          </w:p>
          <w:p>
            <w:pPr>
              <w:pStyle w:val="Normal"/>
              <w:tabs>
                <w:tab w:val="left" w:pos="4020" w:leader="none"/>
                <w:tab w:val="center" w:pos="4677" w:leader="none"/>
              </w:tabs>
              <w:spacing w:lineRule="auto" w:line="240"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 xml:space="preserve">Бартеневского муниципального образования </w:t>
      </w:r>
      <w:r>
        <w:rPr>
          <w:rFonts w:cs="Times New Roman" w:ascii="Times New Roman" w:hAnsi="Times New Roman"/>
          <w:sz w:val="28"/>
          <w:szCs w:val="28"/>
        </w:rPr>
        <w:t>на 2024 год и плановый период 2025 и 2026 годов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Основными бюджетообразующими доходами бюджета муниципального образования являются земельный налог, 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акцизы на нефтепродукты </w:t>
      </w:r>
      <w:r>
        <w:rPr>
          <w:rFonts w:cs="Times New Roman" w:ascii="Times New Roman" w:hAnsi="Times New Roman"/>
          <w:sz w:val="28"/>
          <w:szCs w:val="28"/>
        </w:rPr>
        <w:t>и налог на доходы физических лиц.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7815" w:leader="none"/>
        </w:tabs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19050" distR="9525">
            <wp:extent cx="3362325" cy="1619250"/>
            <wp:effectExtent l="0" t="0" r="0" b="0"/>
            <wp:docPr id="1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03" t="27069" r="30182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7815" w:leader="none"/>
        </w:tabs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>
      <w:pPr>
        <w:pStyle w:val="Normal"/>
        <w:tabs>
          <w:tab w:val="left" w:pos="7815" w:leader="none"/>
        </w:tabs>
        <w:spacing w:lineRule="auto" w:line="240"/>
        <w:ind w:left="-567" w:hanging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/>
        <w:drawing>
          <wp:inline distT="0" distB="0" distL="19050" distR="6350">
            <wp:extent cx="6203950" cy="4410075"/>
            <wp:effectExtent l="0" t="0" r="0" b="0"/>
            <wp:docPr id="17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-142" w:right="423" w:hanging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Расходы по основным функциям муниципального образования.</w:t>
      </w:r>
      <w:r>
        <w:rPr>
          <w:rFonts w:cs="Times New Roman" w:ascii="Times New Roman" w:hAnsi="Times New Roman"/>
          <w:b/>
          <w:bCs/>
          <w:sz w:val="32"/>
          <w:szCs w:val="32"/>
        </w:rPr>
        <w:drawing>
          <wp:inline distT="0" distB="0" distL="19050" distR="9525">
            <wp:extent cx="6296025" cy="3781425"/>
            <wp:effectExtent l="0" t="0" r="0" b="0"/>
            <wp:docPr id="18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Бартеневского муниципального образования по разделам в 2022-2026 годах.</w:t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%</w:t>
      </w:r>
    </w:p>
    <w:tbl>
      <w:tblPr>
        <w:tblW w:w="10867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992"/>
        <w:gridCol w:w="4537"/>
        <w:gridCol w:w="1227"/>
        <w:gridCol w:w="1133"/>
        <w:gridCol w:w="993"/>
        <w:gridCol w:w="992"/>
        <w:gridCol w:w="992"/>
      </w:tblGrid>
      <w:tr>
        <w:trPr>
          <w:trHeight w:val="336" w:hRule="atLeast"/>
        </w:trPr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5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1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2023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>
        <w:trPr>
          <w:trHeight w:val="624" w:hRule="atLeast"/>
        </w:trPr>
        <w:tc>
          <w:tcPr>
            <w:tcW w:w="99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453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2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3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 г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 г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 г</w:t>
            </w:r>
          </w:p>
        </w:tc>
      </w:tr>
      <w:tr>
        <w:trPr>
          <w:trHeight w:val="430" w:hRule="atLeast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>
        <w:trPr/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30,9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58,7</w:t>
            </w:r>
          </w:p>
        </w:tc>
      </w:tr>
      <w:tr>
        <w:trPr/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</w:tr>
      <w:tr>
        <w:trPr/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38,8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7,8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23,1</w:t>
            </w:r>
          </w:p>
        </w:tc>
      </w:tr>
      <w:tr>
        <w:trPr/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27,0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</w:tr>
      <w:tr>
        <w:trPr/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>
        <w:trPr/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</w:tbl>
    <w:p>
      <w:pPr>
        <w:pStyle w:val="Normal"/>
        <w:spacing w:lineRule="auto" w:line="2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%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32"/>
          <w:szCs w:val="32"/>
          <w:lang w:val="en-US"/>
        </w:rPr>
      </w:pPr>
      <w:r>
        <w:rPr/>
        <w:object>
          <v:shape id="ole_rId12" style="width:371.25pt;height:158.25pt" o:ole="">
            <v:imagedata r:id="rId13" o:title=""/>
          </v:shape>
          <o:OLEObject Type="Embed" ProgID="MSGraph.Chart.8" ShapeID="ole_rId12" DrawAspect="Content" ObjectID="_389110771" r:id="rId12"/>
        </w:object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основным разделам на душу населения</w:t>
        <w:tab/>
        <w:tab/>
        <w:tab/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10490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942"/>
        <w:gridCol w:w="3475"/>
        <w:gridCol w:w="1125"/>
        <w:gridCol w:w="1267"/>
        <w:gridCol w:w="1272"/>
        <w:gridCol w:w="1273"/>
        <w:gridCol w:w="1135"/>
      </w:tblGrid>
      <w:tr>
        <w:trPr>
          <w:trHeight w:val="288" w:hRule="atLeast"/>
        </w:trPr>
        <w:tc>
          <w:tcPr>
            <w:tcW w:w="94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4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  <w:tc>
          <w:tcPr>
            <w:tcW w:w="12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52" w:hRule="atLeast"/>
        </w:trPr>
        <w:tc>
          <w:tcPr>
            <w:tcW w:w="942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347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2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6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2024г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2025г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2026г</w:t>
            </w:r>
          </w:p>
        </w:tc>
      </w:tr>
      <w:tr>
        <w:trPr/>
        <w:tc>
          <w:tcPr>
            <w:tcW w:w="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2724,09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3379,66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2184,54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2142,47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2082,45</w:t>
            </w:r>
          </w:p>
        </w:tc>
      </w:tr>
      <w:tr>
        <w:trPr/>
        <w:tc>
          <w:tcPr>
            <w:tcW w:w="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2385,69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42712,16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489,43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348,95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348,95</w:t>
            </w:r>
          </w:p>
        </w:tc>
      </w:tr>
      <w:tr>
        <w:trPr/>
        <w:tc>
          <w:tcPr>
            <w:tcW w:w="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77,61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6,48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4,98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4,98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4,98</w:t>
            </w:r>
          </w:p>
        </w:tc>
      </w:tr>
      <w:tr>
        <w:trPr/>
        <w:tc>
          <w:tcPr>
            <w:tcW w:w="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12,1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>
        <w:trPr/>
        <w:tc>
          <w:tcPr>
            <w:tcW w:w="9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8826,79</w:t>
            </w:r>
          </w:p>
        </w:tc>
        <w:tc>
          <w:tcPr>
            <w:tcW w:w="1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50177,26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6661,9</w:t>
            </w:r>
          </w:p>
        </w:tc>
        <w:tc>
          <w:tcPr>
            <w:tcW w:w="1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3509,37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3546,56</w:t>
            </w:r>
          </w:p>
        </w:tc>
      </w:tr>
    </w:tbl>
    <w:p>
      <w:pPr>
        <w:pStyle w:val="Normal"/>
        <w:spacing w:lineRule="auto" w:line="24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8"/>
          <w:szCs w:val="28"/>
        </w:rPr>
        <w:t>руб</w:t>
      </w:r>
      <w:r>
        <w:rPr>
          <w:rFonts w:cs="Times New Roman" w:ascii="Times New Roman" w:hAnsi="Times New Roman"/>
          <w:bCs/>
          <w:sz w:val="24"/>
          <w:szCs w:val="24"/>
        </w:rPr>
        <w:t>.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4781550" cy="2257425"/>
            <wp:effectExtent l="0" t="0" r="0" b="0"/>
            <wp:docPr id="19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Расходы бюджета Бартеневского муниципального образования запланированы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2024 год  в сумме 6681,9 тыс. рублей, на 2025 год в сумме </w:t>
      </w:r>
      <w:r>
        <w:rPr>
          <w:rFonts w:cs="Times New Roman" w:ascii="Times New Roman" w:hAnsi="Times New Roman"/>
          <w:sz w:val="28"/>
          <w:szCs w:val="28"/>
        </w:rPr>
        <w:t>3519,9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2026 год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сумме </w:t>
      </w:r>
      <w:r>
        <w:rPr>
          <w:rFonts w:cs="Times New Roman" w:ascii="Times New Roman" w:hAnsi="Times New Roman"/>
          <w:bCs/>
          <w:color w:val="000000" w:themeColor="text1"/>
          <w:sz w:val="28"/>
          <w:szCs w:val="28"/>
        </w:rPr>
        <w:t xml:space="preserve">3557,2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тыс. руб.</w:t>
      </w:r>
    </w:p>
    <w:tbl>
      <w:tblPr>
        <w:tblW w:w="5000" w:type="pct"/>
        <w:jc w:val="left"/>
        <w:tblInd w:w="-60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3533"/>
        <w:gridCol w:w="1219"/>
        <w:gridCol w:w="1006"/>
        <w:gridCol w:w="1178"/>
        <w:gridCol w:w="1045"/>
        <w:gridCol w:w="1177"/>
        <w:gridCol w:w="1046"/>
      </w:tblGrid>
      <w:tr>
        <w:trPr>
          <w:trHeight w:val="324" w:hRule="atLeast"/>
        </w:trPr>
        <w:tc>
          <w:tcPr>
            <w:tcW w:w="35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6"/>
              </w:rPr>
              <w:t>Расходы</w:t>
            </w:r>
          </w:p>
        </w:tc>
        <w:tc>
          <w:tcPr>
            <w:tcW w:w="12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6"/>
              </w:rPr>
            </w:r>
          </w:p>
        </w:tc>
        <w:tc>
          <w:tcPr>
            <w:tcW w:w="100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</w:p>
        </w:tc>
        <w:tc>
          <w:tcPr>
            <w:tcW w:w="11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 год</w:t>
            </w:r>
          </w:p>
        </w:tc>
        <w:tc>
          <w:tcPr>
            <w:tcW w:w="32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>
        <w:trPr>
          <w:trHeight w:val="324" w:hRule="atLeast"/>
        </w:trPr>
        <w:tc>
          <w:tcPr>
            <w:tcW w:w="353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6"/>
              </w:rPr>
            </w:r>
          </w:p>
        </w:tc>
        <w:tc>
          <w:tcPr>
            <w:tcW w:w="1219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8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6"/>
              </w:rPr>
            </w:r>
          </w:p>
        </w:tc>
        <w:tc>
          <w:tcPr>
            <w:tcW w:w="100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17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2024 г</w:t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 г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 г</w:t>
            </w:r>
          </w:p>
        </w:tc>
      </w:tr>
      <w:tr>
        <w:trPr>
          <w:trHeight w:val="846" w:hRule="atLeast"/>
        </w:trPr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вопросы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8"/>
                <w:szCs w:val="20"/>
              </w:rPr>
            </w:pPr>
            <w:r>
              <w:rPr/>
              <w:object>
                <v:shape id="ole_rId15" style="width:52.5pt;height:39pt" o:ole="">
                  <v:imagedata r:id="rId16" o:title=""/>
                </v:shape>
                <o:OLEObject Type="Embed" ProgID="PBrush" ShapeID="ole_rId15" DrawAspect="Content" ObjectID="_1831253030" r:id="rId15"/>
              </w:objec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2860,3</w:t>
            </w:r>
          </w:p>
        </w:tc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3389,8</w:t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2191,1</w:t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2148,9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2088,7</w:t>
            </w:r>
          </w:p>
        </w:tc>
      </w:tr>
      <w:tr>
        <w:trPr>
          <w:trHeight w:val="657" w:hRule="atLeast"/>
        </w:trPr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Национальная оборона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8"/>
                <w:szCs w:val="20"/>
              </w:rPr>
            </w:pPr>
            <w:r>
              <w:rPr/>
              <w:object>
                <v:shape id="ole_rId17" style="width:51pt;height:41.25pt" o:ole="">
                  <v:imagedata r:id="rId18" o:title=""/>
                </v:shape>
                <o:OLEObject Type="Embed" ProgID="PBrush" ShapeID="ole_rId17" DrawAspect="Content" ObjectID="_249873096" r:id="rId17"/>
              </w:objec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115,2</w:t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138,8</w:t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153,4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167,5</w:t>
            </w:r>
          </w:p>
        </w:tc>
      </w:tr>
      <w:tr>
        <w:trPr>
          <w:trHeight w:val="1039" w:hRule="atLeast"/>
        </w:trPr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8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600710" cy="467360"/>
                      <wp:effectExtent l="0" t="0" r="0" b="0"/>
                      <wp:docPr id="20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" descr=""/>
                              <pic:cNvPicPr/>
                            </pic:nvPicPr>
                            <pic:blipFill>
                              <a:blip r:embed="rId19"/>
                              <a:stretch/>
                            </pic:blipFill>
                            <pic:spPr>
                              <a:xfrm>
                                <a:off x="0" y="0"/>
                                <a:ext cx="600120" cy="4665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rect id="shape_0" stroked="f" style="position:absolute;margin-left:0pt;margin-top:-36.8pt;width:47.2pt;height:36.7pt;mso-position-vertical:top">
                      <v:imagedata r:id="rId19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48,0</w:t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</w:r>
          </w:p>
        </w:tc>
      </w:tr>
      <w:tr>
        <w:trPr>
          <w:trHeight w:val="842" w:hRule="atLeast"/>
        </w:trPr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Национальная экономика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8"/>
                <w:szCs w:val="20"/>
              </w:rPr>
            </w:pPr>
            <w:r>
              <w:rPr/>
              <w:object>
                <v:shape id="ole_rId20" style="width:48pt;height:37.5pt" o:ole="">
                  <v:imagedata r:id="rId21" o:title=""/>
                </v:shape>
                <o:OLEObject Type="Embed" ProgID="PBrush" ShapeID="ole_rId20" DrawAspect="Content" ObjectID="_2123215014" r:id="rId20"/>
              </w:objec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3605,1</w:t>
            </w:r>
          </w:p>
        </w:tc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3807,2</w:t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3730,5</w:t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737,0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820,4</w:t>
            </w:r>
          </w:p>
        </w:tc>
      </w:tr>
      <w:tr>
        <w:trPr>
          <w:trHeight w:val="1059" w:hRule="atLeast"/>
        </w:trPr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Жилищно-коммунальное хозяйство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8"/>
                <w:szCs w:val="20"/>
              </w:rPr>
            </w:pPr>
            <w:r>
              <w:rPr/>
              <w:object>
                <v:shape id="ole_rId22" style="width:45pt;height:42.75pt" o:ole="">
                  <v:imagedata r:id="rId23" o:title=""/>
                </v:shape>
                <o:OLEObject Type="Embed" ProgID="PBrush" ShapeID="ole_rId22" DrawAspect="Content" ObjectID="_34987130" r:id="rId22"/>
              </w:objec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2504,9</w:t>
            </w:r>
          </w:p>
        </w:tc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42840,3</w:t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490,9</w:t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350,0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350,0</w:t>
            </w:r>
          </w:p>
        </w:tc>
      </w:tr>
      <w:tr>
        <w:trPr/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Образование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8"/>
                <w:szCs w:val="20"/>
              </w:rPr>
            </w:pPr>
            <w:r>
              <w:rPr/>
              <w:object>
                <v:shape id="ole_rId24" style="width:45pt;height:37.5pt" o:ole="">
                  <v:imagedata r:id="rId25" o:title=""/>
                </v:shape>
                <o:OLEObject Type="Embed" ProgID="PBrush" ShapeID="ole_rId24" DrawAspect="Content" ObjectID="_567738594" r:id="rId24"/>
              </w:objec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</w:r>
          </w:p>
        </w:tc>
      </w:tr>
      <w:tr>
        <w:trPr/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Культура, кинематография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8"/>
                <w:szCs w:val="20"/>
              </w:rPr>
            </w:pPr>
            <w:r>
              <w:rPr/>
              <w:object>
                <v:shape id="ole_rId26" style="width:45.75pt;height:36.75pt" o:ole="">
                  <v:imagedata r:id="rId27" o:title=""/>
                </v:shape>
                <o:OLEObject Type="Embed" ProgID="PBrush" ShapeID="ole_rId26" DrawAspect="Content" ObjectID="_989974029" r:id="rId26"/>
              </w:objec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81,5</w:t>
            </w:r>
          </w:p>
        </w:tc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6,5</w:t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5,0</w:t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5,0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5,0</w:t>
            </w:r>
          </w:p>
        </w:tc>
      </w:tr>
      <w:tr>
        <w:trPr/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Социальная политика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8"/>
                <w:szCs w:val="20"/>
              </w:rPr>
            </w:pPr>
            <w:r>
              <w:rPr/>
              <w:object>
                <v:shape id="ole_rId28" style="width:45pt;height:36.75pt" o:ole="">
                  <v:imagedata r:id="rId29" o:title=""/>
                </v:shape>
                <o:OLEObject Type="Embed" ProgID="PBrush" ShapeID="ole_rId28" DrawAspect="Content" ObjectID="_1822903584" r:id="rId28"/>
              </w:object>
            </w:r>
          </w:p>
        </w:tc>
        <w:tc>
          <w:tcPr>
            <w:tcW w:w="10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6"/>
                <w:szCs w:val="26"/>
              </w:rPr>
              <w:t>83,4</w:t>
            </w:r>
          </w:p>
        </w:tc>
        <w:tc>
          <w:tcPr>
            <w:tcW w:w="1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120,8</w:t>
            </w:r>
          </w:p>
        </w:tc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125,6</w:t>
            </w:r>
          </w:p>
        </w:tc>
        <w:tc>
          <w:tcPr>
            <w:tcW w:w="1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125,6</w:t>
            </w:r>
          </w:p>
        </w:tc>
        <w:tc>
          <w:tcPr>
            <w:tcW w:w="10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6"/>
              </w:rPr>
              <w:t>125,6</w:t>
            </w:r>
          </w:p>
        </w:tc>
      </w:tr>
      <w:tr>
        <w:trPr>
          <w:trHeight w:val="359" w:hRule="atLeast"/>
        </w:trPr>
        <w:tc>
          <w:tcPr>
            <w:tcW w:w="3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6"/>
              </w:rPr>
              <w:t>ИТОГО расходов:</w:t>
            </w:r>
          </w:p>
        </w:tc>
        <w:tc>
          <w:tcPr>
            <w:tcW w:w="1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b/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</w:r>
          </w:p>
        </w:tc>
        <w:tc>
          <w:tcPr>
            <w:tcW w:w="100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9268,1</w:t>
            </w:r>
          </w:p>
        </w:tc>
        <w:tc>
          <w:tcPr>
            <w:tcW w:w="117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b/>
                <w:b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6"/>
              </w:rPr>
              <w:t>50327,8</w:t>
            </w:r>
          </w:p>
        </w:tc>
        <w:tc>
          <w:tcPr>
            <w:tcW w:w="104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b/>
                <w:b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6"/>
              </w:rPr>
              <w:t>6681,9</w:t>
            </w:r>
          </w:p>
        </w:tc>
        <w:tc>
          <w:tcPr>
            <w:tcW w:w="117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b/>
                <w:b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6"/>
              </w:rPr>
              <w:t>3519,9</w:t>
            </w:r>
          </w:p>
        </w:tc>
        <w:tc>
          <w:tcPr>
            <w:tcW w:w="104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 w:cs="Times New Roman"/>
                <w:b/>
                <w:b/>
                <w:sz w:val="28"/>
                <w:szCs w:val="26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6"/>
              </w:rPr>
              <w:t>3557,2</w:t>
            </w:r>
          </w:p>
        </w:tc>
      </w:tr>
    </w:tbl>
    <w:p>
      <w:pPr>
        <w:pStyle w:val="Normal"/>
        <w:spacing w:lineRule="auto" w:line="240"/>
        <w:ind w:firstLine="708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Бюджетные ассигнования бюджета Бартеневского муниципального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ab/>
        <w:tab/>
        <w:tab/>
        <w:tab/>
        <w:tab/>
        <w:tab/>
        <w:tab/>
        <w:tab/>
        <w:tab/>
        <w:tab/>
        <w:tab/>
      </w:r>
      <w:r>
        <w:rPr>
          <w:rFonts w:cs="Times New Roman" w:ascii="Times New Roman" w:hAnsi="Times New Roman"/>
          <w:bCs/>
          <w:sz w:val="28"/>
          <w:szCs w:val="28"/>
          <w:lang w:val="ru-RU"/>
        </w:rPr>
        <w:t>тыс. руб.</w:t>
      </w:r>
    </w:p>
    <w:tbl>
      <w:tblPr>
        <w:tblW w:w="5000" w:type="pct"/>
        <w:jc w:val="left"/>
        <w:tblInd w:w="-601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6409"/>
        <w:gridCol w:w="1194"/>
        <w:gridCol w:w="1292"/>
        <w:gridCol w:w="1309"/>
      </w:tblGrid>
      <w:tr>
        <w:trPr>
          <w:trHeight w:val="401" w:hRule="atLeast"/>
        </w:trPr>
        <w:tc>
          <w:tcPr>
            <w:tcW w:w="64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37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>
        <w:trPr>
          <w:trHeight w:val="423" w:hRule="atLeast"/>
        </w:trPr>
        <w:tc>
          <w:tcPr>
            <w:tcW w:w="6409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</w:r>
          </w:p>
        </w:tc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2024 год</w:t>
            </w:r>
          </w:p>
        </w:tc>
        <w:tc>
          <w:tcPr>
            <w:tcW w:w="12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2025 год</w:t>
            </w:r>
          </w:p>
        </w:tc>
        <w:tc>
          <w:tcPr>
            <w:tcW w:w="130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/>
                <w:bCs/>
                <w:sz w:val="26"/>
                <w:szCs w:val="26"/>
              </w:rPr>
              <w:t>2026 год</w:t>
            </w:r>
          </w:p>
        </w:tc>
      </w:tr>
      <w:tr>
        <w:trPr>
          <w:trHeight w:val="439" w:hRule="atLeast"/>
        </w:trPr>
        <w:tc>
          <w:tcPr>
            <w:tcW w:w="6409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Муниципальная программа  «Развитие  Бартеневского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94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4226,4</w:t>
            </w:r>
          </w:p>
        </w:tc>
        <w:tc>
          <w:tcPr>
            <w:tcW w:w="1292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1092,0</w:t>
            </w:r>
          </w:p>
        </w:tc>
        <w:tc>
          <w:tcPr>
            <w:tcW w:w="1309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1175,4</w:t>
            </w:r>
          </w:p>
        </w:tc>
      </w:tr>
      <w:tr>
        <w:trPr>
          <w:trHeight w:val="255" w:hRule="atLeast"/>
        </w:trPr>
        <w:tc>
          <w:tcPr>
            <w:tcW w:w="6409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Бартеневского муниципального образования»</w:t>
            </w:r>
          </w:p>
        </w:tc>
        <w:tc>
          <w:tcPr>
            <w:tcW w:w="1194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3730,5</w:t>
            </w:r>
          </w:p>
        </w:tc>
        <w:tc>
          <w:tcPr>
            <w:tcW w:w="1292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737,0</w:t>
            </w:r>
          </w:p>
        </w:tc>
        <w:tc>
          <w:tcPr>
            <w:tcW w:w="130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820,4</w:t>
            </w:r>
          </w:p>
        </w:tc>
      </w:tr>
      <w:tr>
        <w:trPr>
          <w:trHeight w:val="255" w:hRule="atLeast"/>
        </w:trPr>
        <w:tc>
          <w:tcPr>
            <w:tcW w:w="6409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1194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360,9</w:t>
            </w:r>
          </w:p>
        </w:tc>
        <w:tc>
          <w:tcPr>
            <w:tcW w:w="1292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315,0</w:t>
            </w:r>
          </w:p>
        </w:tc>
        <w:tc>
          <w:tcPr>
            <w:tcW w:w="130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315,0</w:t>
            </w:r>
          </w:p>
        </w:tc>
      </w:tr>
      <w:tr>
        <w:trPr>
          <w:trHeight w:val="465" w:hRule="atLeast"/>
        </w:trPr>
        <w:tc>
          <w:tcPr>
            <w:tcW w:w="6409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Подпрограмма "Повышение качества водоснабжения и водоотведения"</w:t>
            </w:r>
          </w:p>
        </w:tc>
        <w:tc>
          <w:tcPr>
            <w:tcW w:w="1194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130,0</w:t>
            </w:r>
          </w:p>
        </w:tc>
        <w:tc>
          <w:tcPr>
            <w:tcW w:w="1292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130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35,0</w:t>
            </w:r>
          </w:p>
        </w:tc>
      </w:tr>
      <w:tr>
        <w:trPr>
          <w:trHeight w:val="465" w:hRule="atLeast"/>
        </w:trPr>
        <w:tc>
          <w:tcPr>
            <w:tcW w:w="6409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98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1194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92" w:type="dxa"/>
            <w:tcBorders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30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5,0</w:t>
            </w:r>
          </w:p>
        </w:tc>
      </w:tr>
    </w:tbl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BodyText2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W w:w="5000" w:type="pct"/>
        <w:jc w:val="left"/>
        <w:tblInd w:w="-60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334"/>
        <w:gridCol w:w="1151"/>
        <w:gridCol w:w="1317"/>
        <w:gridCol w:w="1022"/>
        <w:gridCol w:w="1315"/>
        <w:gridCol w:w="1167"/>
        <w:gridCol w:w="1898"/>
      </w:tblGrid>
      <w:tr>
        <w:trPr>
          <w:trHeight w:val="429" w:hRule="atLeast"/>
        </w:trPr>
        <w:tc>
          <w:tcPr>
            <w:tcW w:w="23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468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На 01.01.2025г.</w:t>
            </w:r>
          </w:p>
        </w:tc>
        <w:tc>
          <w:tcPr>
            <w:tcW w:w="2337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На 01.01.2026г.</w:t>
            </w:r>
          </w:p>
        </w:tc>
        <w:tc>
          <w:tcPr>
            <w:tcW w:w="306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На 01.01.2027г.</w:t>
            </w:r>
          </w:p>
        </w:tc>
      </w:tr>
      <w:tr>
        <w:trPr>
          <w:trHeight w:val="537" w:hRule="atLeast"/>
        </w:trPr>
        <w:tc>
          <w:tcPr>
            <w:tcW w:w="23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51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317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>
              <w:rPr>
                <w:rFonts w:cs="Times New Roman"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022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315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>
              <w:rPr>
                <w:rFonts w:cs="Times New Roman"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67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898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  <w:shd w:fill="C2D69B" w:val="clear"/>
              </w:rPr>
              <w:t>Удельный вес, в</w:t>
            </w:r>
            <w:r>
              <w:rPr>
                <w:rFonts w:cs="Times New Roman"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>
        <w:trPr>
          <w:trHeight w:val="269" w:hRule="atLeast"/>
        </w:trPr>
        <w:tc>
          <w:tcPr>
            <w:tcW w:w="23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51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317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022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315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167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898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</w:r>
          </w:p>
        </w:tc>
      </w:tr>
      <w:tr>
        <w:trPr>
          <w:trHeight w:val="630" w:hRule="atLeast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5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6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9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5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6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9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2D69B" w:themeFill="accent3" w:themeFillTint="99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51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022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15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67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9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themeFill="accent3" w:themeFillTint="33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Муниципальный долг в Бартеневском муниципальном образовании по состоянию на 01.01.2024г. – отсутствует.</w:t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19050" distR="635">
            <wp:extent cx="4533265" cy="1524000"/>
            <wp:effectExtent l="0" t="0" r="0" b="0"/>
            <wp:docPr id="21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876935" cy="610870"/>
                <wp:effectExtent l="0" t="0" r="0" b="0"/>
                <wp:wrapSquare wrapText="largest"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876240" cy="61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441.2pt;margin-top:0pt;width:68.95pt;height:48pt;mso-position-horizontal:right">
                <v:imagedata r:id="rId31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413320, Саратовская область, Ивантеевский район с.Бартеневка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16-12,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5-31-21)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Тел.5-31-21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Глава Бартеневского муниципального образования Скипа Р.Е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>
        <w:rPr>
          <w:rFonts w:cs="Times New Roman" w:ascii="Times New Roman" w:hAnsi="Times New Roman"/>
          <w:sz w:val="28"/>
          <w:szCs w:val="28"/>
          <w:u w:val="single"/>
        </w:rPr>
        <w:t>bartenevkaadm@yandex.ru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134" w:right="567" w:header="0" w:top="284" w:footer="0" w:bottom="2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uiPriority="10" w:semiHidden="0" w:unhideWhenUsed="0" w:qFormat="1"/>
    <w:lsdException w:name="Default Paragraph Font" w:unhideWhenUsed="0"/>
    <w:lsdException w:name="Subtitle" w:uiPriority="11" w:semiHidden="0" w:unhideWhenUsed="0" w:qFormat="1"/>
    <w:lsdException w:name="Body Text Indent 3" w:unhideWhenUsed="0"/>
    <w:lsdException w:name="Strong" w:uiPriority="22" w:semiHidden="0" w:unhideWhenUsed="0" w:qFormat="1"/>
    <w:lsdException w:name="Emphasis" w:uiPriority="20" w:semiHidden="0" w:unhideWhenUsed="0" w:qFormat="1"/>
    <w:lsdException w:name="Balloon Text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2312"/>
    <w:pPr>
      <w:widowControl/>
      <w:bidi w:val="0"/>
      <w:spacing w:lineRule="auto" w:line="276" w:before="0" w:after="200"/>
      <w:jc w:val="left"/>
    </w:pPr>
    <w:rPr>
      <w:rFonts w:cs="Calibri" w:ascii="Calibri" w:hAnsi="Calibri" w:eastAsia="Calibri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7b59eb"/>
    <w:rPr>
      <w:rFonts w:ascii="Tahoma" w:hAnsi="Tahoma" w:cs="Tahoma"/>
      <w:sz w:val="16"/>
      <w:szCs w:val="16"/>
    </w:rPr>
  </w:style>
  <w:style w:type="character" w:styleId="3" w:customStyle="1">
    <w:name w:val="Основной текст с отступом 3 Знак"/>
    <w:basedOn w:val="DefaultParagraphFont"/>
    <w:link w:val="3"/>
    <w:uiPriority w:val="99"/>
    <w:qFormat/>
    <w:rsid w:val="00ea2288"/>
    <w:rPr>
      <w:rFonts w:ascii="Times New Roman" w:hAnsi="Times New Roman" w:cs="Times New Roman"/>
      <w:sz w:val="16"/>
      <w:szCs w:val="16"/>
      <w:lang w:eastAsia="ru-RU"/>
    </w:rPr>
  </w:style>
  <w:style w:type="character" w:styleId="Style15">
    <w:name w:val="Интернет-ссылка"/>
    <w:uiPriority w:val="99"/>
    <w:rsid w:val="00fd4e09"/>
    <w:rPr>
      <w:color w:val="0000FF"/>
      <w:u w:val="single"/>
    </w:rPr>
  </w:style>
  <w:style w:type="character" w:styleId="2" w:customStyle="1">
    <w:name w:val="Основной текст 2 Знак"/>
    <w:basedOn w:val="DefaultParagraphFont"/>
    <w:link w:val="2"/>
    <w:uiPriority w:val="99"/>
    <w:qFormat/>
    <w:rsid w:val="00fd2966"/>
    <w:rPr>
      <w:rFonts w:ascii="Calibri" w:hAnsi="Calibri" w:eastAsia="" w:cs="" w:asciiTheme="minorHAnsi" w:cstheme="minorBidi" w:eastAsiaTheme="minorEastAsia" w:hAnsiTheme="minorHAnsi"/>
      <w:sz w:val="22"/>
      <w:szCs w:val="22"/>
      <w:lang w:val="en-US" w:eastAsia="en-US" w:bidi="en-US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5"/>
    <w:uiPriority w:val="99"/>
    <w:semiHidden/>
    <w:qFormat/>
    <w:rsid w:val="007b59e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uiPriority w:val="99"/>
    <w:qFormat/>
    <w:rsid w:val="005f4d64"/>
    <w:pPr>
      <w:widowControl w:val="false"/>
      <w:bidi w:val="0"/>
      <w:jc w:val="left"/>
    </w:pPr>
    <w:rPr>
      <w:rFonts w:ascii="Arial" w:hAnsi="Arial" w:cs="Arial" w:eastAsia="Calibri"/>
      <w:color w:val="auto"/>
      <w:kern w:val="0"/>
      <w:sz w:val="22"/>
      <w:szCs w:val="20"/>
      <w:lang w:val="ru-RU" w:eastAsia="ru-RU" w:bidi="ar-SA"/>
    </w:rPr>
  </w:style>
  <w:style w:type="paragraph" w:styleId="BodyTextIndent3">
    <w:name w:val="Body Text Indent 3"/>
    <w:basedOn w:val="Normal"/>
    <w:link w:val="30"/>
    <w:uiPriority w:val="99"/>
    <w:qFormat/>
    <w:rsid w:val="00ea2288"/>
    <w:pPr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Caption">
    <w:name w:val="caption"/>
    <w:basedOn w:val="Normal"/>
    <w:uiPriority w:val="99"/>
    <w:qFormat/>
    <w:rsid w:val="001432bf"/>
    <w:pPr>
      <w:spacing w:lineRule="auto" w:line="240"/>
    </w:pPr>
    <w:rPr>
      <w:b/>
      <w:bCs/>
      <w:color w:val="4F81BD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d9133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fd4e09"/>
    <w:pPr>
      <w:spacing w:before="0" w:after="200"/>
      <w:ind w:left="720" w:hanging="0"/>
      <w:contextualSpacing/>
    </w:pPr>
    <w:rPr>
      <w:rFonts w:cs="Times New Roman"/>
    </w:rPr>
  </w:style>
  <w:style w:type="paragraph" w:styleId="BodyText2">
    <w:name w:val="Body Text 2"/>
    <w:basedOn w:val="Normal"/>
    <w:link w:val="20"/>
    <w:uiPriority w:val="99"/>
    <w:unhideWhenUsed/>
    <w:qFormat/>
    <w:rsid w:val="00fd2966"/>
    <w:pPr>
      <w:spacing w:lineRule="auto" w:line="480" w:before="0" w:after="120"/>
    </w:pPr>
    <w:rPr>
      <w:rFonts w:ascii="Calibri" w:hAnsi="Calibri" w:eastAsia="" w:cs="" w:asciiTheme="minorHAnsi" w:cstheme="minorBidi" w:eastAsiaTheme="minorEastAsia" w:hAnsiTheme="minorHAnsi"/>
      <w:lang w:val="en-US" w:bidi="en-US"/>
    </w:rPr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e06ebe"/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101aec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chart" Target="charts/chart1.xml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oleObject" Target="embeddings/oleObject1.bin"/><Relationship Id="rId13" Type="http://schemas.openxmlformats.org/officeDocument/2006/relationships/image" Target="media/image10.emf"/><Relationship Id="rId14" Type="http://schemas.openxmlformats.org/officeDocument/2006/relationships/chart" Target="charts/chart2.xml"/><Relationship Id="rId15" Type="http://schemas.openxmlformats.org/officeDocument/2006/relationships/oleObject" Target="embeddings/oleObject2.bin"/><Relationship Id="rId16" Type="http://schemas.openxmlformats.org/officeDocument/2006/relationships/image" Target="media/image11.emf"/><Relationship Id="rId17" Type="http://schemas.openxmlformats.org/officeDocument/2006/relationships/oleObject" Target="embeddings/oleObject3.bin"/><Relationship Id="rId18" Type="http://schemas.openxmlformats.org/officeDocument/2006/relationships/image" Target="media/image12.emf"/><Relationship Id="rId19" Type="http://schemas.openxmlformats.org/officeDocument/2006/relationships/image" Target="media/image13.png"/><Relationship Id="rId20" Type="http://schemas.openxmlformats.org/officeDocument/2006/relationships/oleObject" Target="embeddings/oleObject4.bin"/><Relationship Id="rId21" Type="http://schemas.openxmlformats.org/officeDocument/2006/relationships/image" Target="media/image14.emf"/><Relationship Id="rId22" Type="http://schemas.openxmlformats.org/officeDocument/2006/relationships/oleObject" Target="embeddings/oleObject5.bin"/><Relationship Id="rId23" Type="http://schemas.openxmlformats.org/officeDocument/2006/relationships/image" Target="media/image15.emf"/><Relationship Id="rId24" Type="http://schemas.openxmlformats.org/officeDocument/2006/relationships/oleObject" Target="embeddings/oleObject6.bin"/><Relationship Id="rId25" Type="http://schemas.openxmlformats.org/officeDocument/2006/relationships/image" Target="media/image16.emf"/><Relationship Id="rId26" Type="http://schemas.openxmlformats.org/officeDocument/2006/relationships/oleObject" Target="embeddings/oleObject7.bin"/><Relationship Id="rId27" Type="http://schemas.openxmlformats.org/officeDocument/2006/relationships/image" Target="media/image17.emf"/><Relationship Id="rId28" Type="http://schemas.openxmlformats.org/officeDocument/2006/relationships/oleObject" Target="embeddings/oleObject8.bin"/><Relationship Id="rId29" Type="http://schemas.openxmlformats.org/officeDocument/2006/relationships/image" Target="media/image18.emf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<Relationship Id="rId35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1" sz="1800" spc="-1" strike="noStrike">
                <a:solidFill>
                  <a:srgbClr val="000000"/>
                </a:solidFill>
                <a:latin typeface="Times New Roman"/>
              </a:defRPr>
            </a:pPr>
            <a:r>
              <a:rPr b="1" sz="1800" spc="-1" strike="noStrike">
                <a:solidFill>
                  <a:srgbClr val="000000"/>
                </a:solidFill>
                <a:latin typeface="Times New Roman"/>
              </a:rPr>
              <a:t>Структура доходов</a:t>
            </a:r>
          </a:p>
        </c:rich>
      </c:tx>
      <c:overlay val="0"/>
    </c:title>
    <c:autoTitleDeleted val="0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НДФЛ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5.6</c:v>
                </c:pt>
                <c:pt idx="1">
                  <c:v>1.5</c:v>
                </c:pt>
                <c:pt idx="2">
                  <c:v>10.4</c:v>
                </c:pt>
                <c:pt idx="3">
                  <c:v>19.5</c:v>
                </c:pt>
                <c:pt idx="4">
                  <c:v>19.1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10.3</c:v>
                </c:pt>
                <c:pt idx="1">
                  <c:v>1.6</c:v>
                </c:pt>
                <c:pt idx="2">
                  <c:v>10.8</c:v>
                </c:pt>
                <c:pt idx="3">
                  <c:v>20.4</c:v>
                </c:pt>
                <c:pt idx="4">
                  <c:v>22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ЕСХН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/>
                </c:pt>
                <c:pt idx="1">
                  <c:v>2.1</c:v>
                </c:pt>
                <c:pt idx="2">
                  <c:v>8.4</c:v>
                </c:pt>
                <c:pt idx="3">
                  <c:v>15.7</c:v>
                </c:pt>
                <c:pt idx="4">
                  <c:v>15.6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0.700000000000001</c:v>
                </c:pt>
                <c:pt idx="1">
                  <c:v>0.1</c:v>
                </c:pt>
                <c:pt idx="2">
                  <c:v>1</c:v>
                </c:pt>
                <c:pt idx="3">
                  <c:v>1.9</c:v>
                </c:pt>
                <c:pt idx="4">
                  <c:v>1.8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16</c:v>
                </c:pt>
                <c:pt idx="1">
                  <c:v>2.5</c:v>
                </c:pt>
                <c:pt idx="2">
                  <c:v>19</c:v>
                </c:pt>
                <c:pt idx="3">
                  <c:v>35.2</c:v>
                </c:pt>
                <c:pt idx="4">
                  <c:v>34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5"/>
                <c:pt idx="0">
                  <c:v>13.9</c:v>
                </c:pt>
                <c:pt idx="1">
                  <c:v>3</c:v>
                </c:pt>
                <c:pt idx="2">
                  <c:v>0.600000000000001</c:v>
                </c:pt>
                <c:pt idx="3">
                  <c:v>1.2</c:v>
                </c:pt>
                <c:pt idx="4">
                  <c:v>1.2</c:v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 год</c:v>
                </c:pt>
                <c:pt idx="1">
                  <c:v>2023год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5"/>
                <c:pt idx="0">
                  <c:v>53.5</c:v>
                </c:pt>
                <c:pt idx="1">
                  <c:v>89.2</c:v>
                </c:pt>
                <c:pt idx="2">
                  <c:v>49.8</c:v>
                </c:pt>
                <c:pt idx="3">
                  <c:v>6.1</c:v>
                </c:pt>
                <c:pt idx="4">
                  <c:v>6.3</c:v>
                </c:pt>
              </c:numCache>
            </c:numRef>
          </c:val>
        </c:ser>
        <c:gapWidth val="150"/>
        <c:overlap val="0"/>
        <c:axId val="45927342"/>
        <c:axId val="65792184"/>
      </c:barChart>
      <c:catAx>
        <c:axId val="45927342"/>
        <c:scaling>
          <c:orientation val="minMax"/>
        </c:scaling>
        <c:delete val="0"/>
        <c:axPos val="b"/>
        <c:numFmt formatCode="MM/DD/YYYY" sourceLinked="1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65792184"/>
        <c:crosses val="autoZero"/>
        <c:auto val="1"/>
        <c:lblAlgn val="ctr"/>
        <c:lblOffset val="100"/>
      </c:catAx>
      <c:valAx>
        <c:axId val="65792184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b="0" sz="1800" spc="-1" strike="noStrike">
                    <a:solidFill>
                      <a:srgbClr val="000000"/>
                    </a:solidFill>
                    <a:latin typeface="Times New Roman"/>
                  </a:defRPr>
                </a:pPr>
                <a:r>
                  <a:rPr b="0" sz="1800" spc="-1" strike="noStrike">
                    <a:solidFill>
                      <a:srgbClr val="000000"/>
                    </a:solidFill>
                    <a:latin typeface="Times New Roman"/>
                  </a:rPr>
                  <a:t>%</a:t>
                </a:r>
              </a:p>
            </c:rich>
          </c:tx>
          <c:overlay val="0"/>
        </c:title>
        <c:numFmt formatCode="0.0" sourceLinked="0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45927342"/>
        <c:crosses val="autoZero"/>
      </c:valAx>
      <c:dTable>
        <c:showHorzBorder val="1"/>
        <c:showVertBorder val="1"/>
        <c:showOutline val="1"/>
      </c:dTable>
      <c:spPr>
        <a:solidFill>
          <a:srgbClr val="ebf1de"/>
        </a:solidFill>
        <a:ln>
          <a:noFill/>
        </a:ln>
      </c:spPr>
    </c:plotArea>
    <c:plotVisOnly val="1"/>
    <c:dispBlanksAs val="gap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2385.69</c:v>
                </c:pt>
                <c:pt idx="1">
                  <c:v>42712.16</c:v>
                </c:pt>
                <c:pt idx="2">
                  <c:v>489.43</c:v>
                </c:pt>
                <c:pt idx="3">
                  <c:v>348.95</c:v>
                </c:pt>
                <c:pt idx="4">
                  <c:v>348.95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77.61</c:v>
                </c:pt>
                <c:pt idx="1">
                  <c:v>6.48</c:v>
                </c:pt>
                <c:pt idx="2">
                  <c:v>4.98</c:v>
                </c:pt>
                <c:pt idx="3">
                  <c:v>4.98</c:v>
                </c:pt>
                <c:pt idx="4">
                  <c:v>4.98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0</c:v>
                </c:pt>
                <c:pt idx="1">
                  <c:v>12.1</c:v>
                </c:pt>
                <c:pt idx="2">
                  <c:v>12.5</c:v>
                </c:pt>
                <c:pt idx="3">
                  <c:v>12.5</c:v>
                </c:pt>
                <c:pt idx="4">
                  <c:v>12.5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8064a2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2724.09</c:v>
                </c:pt>
                <c:pt idx="1">
                  <c:v>3379.66</c:v>
                </c:pt>
                <c:pt idx="2">
                  <c:v>1209.52</c:v>
                </c:pt>
                <c:pt idx="3">
                  <c:v>2142.47</c:v>
                </c:pt>
                <c:pt idx="4">
                  <c:v>2082.45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f79646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8826.79</c:v>
                </c:pt>
                <c:pt idx="1">
                  <c:v>50177.26</c:v>
                </c:pt>
                <c:pt idx="2">
                  <c:v>6661.9</c:v>
                </c:pt>
                <c:pt idx="3">
                  <c:v>3509.37</c:v>
                </c:pt>
                <c:pt idx="4">
                  <c:v>3546.56</c:v>
                </c:pt>
              </c:numCache>
            </c:numRef>
          </c:val>
        </c:ser>
        <c:gapWidth val="150"/>
        <c:overlap val="0"/>
        <c:axId val="18520943"/>
        <c:axId val="55868287"/>
      </c:barChart>
      <c:catAx>
        <c:axId val="18520943"/>
        <c:scaling>
          <c:orientation val="minMax"/>
        </c:scaling>
        <c:delete val="0"/>
        <c:axPos val="b"/>
        <c:numFmt formatCode="MM/DD/YYYY" sourceLinked="1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55868287"/>
        <c:crosses val="autoZero"/>
        <c:auto val="1"/>
        <c:lblAlgn val="ctr"/>
        <c:lblOffset val="100"/>
      </c:catAx>
      <c:valAx>
        <c:axId val="55868287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latin typeface="Calibri"/>
              </a:defRPr>
            </a:pPr>
          </a:p>
        </c:txPr>
        <c:crossAx val="18520943"/>
        <c:crosses val="autoZero"/>
      </c:valAx>
      <c:spPr>
        <a:solidFill>
          <a:srgbClr val="ebf1de"/>
        </a:solidFill>
        <a:ln>
          <a:noFill/>
        </a:ln>
      </c:spPr>
    </c:plotArea>
    <c:legend>
      <c:layout>
        <c:manualLayout>
          <c:xMode val="edge"/>
          <c:yMode val="edge"/>
          <c:x val="0.67725"/>
          <c:y val="0.165444444444444"/>
        </c:manualLayout>
      </c:layout>
      <c:spPr>
        <a:noFill/>
        <a:ln>
          <a:noFill/>
        </a:ln>
      </c:spPr>
    </c:legend>
    <c:plotVisOnly val="1"/>
    <c:dispBlanksAs val="gap"/>
  </c:chart>
  <c:spPr>
    <a:solidFill>
      <a:srgbClr val="ebf1de"/>
    </a:solidFill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D66EE-6314-402F-A767-D2AE72AC0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4753</TotalTime>
  <Application>LibreOffice/5.4.3.2$Windows_X86_64 LibreOffice_project/92a7159f7e4af62137622921e809f8546db437e5</Application>
  <Pages>12</Pages>
  <Words>1171</Words>
  <Characters>7604</Characters>
  <CharactersWithSpaces>8532</CharactersWithSpaces>
  <Paragraphs>533</Paragraphs>
  <Company>FU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2013-12-16T07:10:00Z</dcterms:created>
  <dc:creator>Ignateva</dc:creator>
  <dc:description/>
  <dc:language>ru-RU</dc:language>
  <cp:lastModifiedBy/>
  <cp:lastPrinted>2023-12-12T10:35:00Z</cp:lastPrinted>
  <dcterms:modified xsi:type="dcterms:W3CDTF">2023-12-25T13:16:42Z</dcterms:modified>
  <cp:revision>661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FU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