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2" w:rsidRDefault="003F2872" w:rsidP="003F2872">
      <w:pPr>
        <w:tabs>
          <w:tab w:val="left" w:pos="130"/>
        </w:tabs>
        <w:jc w:val="center"/>
      </w:pPr>
      <w:r>
        <w:rPr>
          <w:b/>
          <w:bCs/>
          <w:sz w:val="28"/>
          <w:szCs w:val="28"/>
        </w:rPr>
        <w:t xml:space="preserve">СОВЕТ  </w:t>
      </w:r>
    </w:p>
    <w:p w:rsidR="003F2872" w:rsidRDefault="003F2872" w:rsidP="003F2872">
      <w:pPr>
        <w:tabs>
          <w:tab w:val="left" w:pos="130"/>
        </w:tabs>
        <w:jc w:val="center"/>
      </w:pPr>
      <w:r>
        <w:rPr>
          <w:b/>
          <w:bCs/>
          <w:sz w:val="28"/>
          <w:szCs w:val="28"/>
        </w:rPr>
        <w:t xml:space="preserve">БАРТЕНЕВСКОГО  МУНИЦИПАЛЬНОГО  ОБРАЗОВАНИЯ </w:t>
      </w:r>
    </w:p>
    <w:p w:rsidR="003F2872" w:rsidRDefault="003F2872" w:rsidP="003F2872">
      <w:pPr>
        <w:tabs>
          <w:tab w:val="left" w:pos="130"/>
        </w:tabs>
        <w:jc w:val="center"/>
      </w:pPr>
      <w:r>
        <w:rPr>
          <w:b/>
          <w:bCs/>
          <w:sz w:val="28"/>
          <w:szCs w:val="28"/>
        </w:rPr>
        <w:t xml:space="preserve">ИВАНТЕЕВСКОГО  МУНИЦИПАЛЬНОГО РАЙОНА  </w:t>
      </w:r>
    </w:p>
    <w:p w:rsidR="003F2872" w:rsidRDefault="003F2872" w:rsidP="003F2872">
      <w:pPr>
        <w:tabs>
          <w:tab w:val="left" w:pos="130"/>
        </w:tabs>
        <w:jc w:val="center"/>
      </w:pPr>
      <w:r>
        <w:rPr>
          <w:b/>
          <w:bCs/>
          <w:sz w:val="28"/>
          <w:szCs w:val="28"/>
        </w:rPr>
        <w:t>САРАТОВСКОЙ  ОБЛАСТИ</w:t>
      </w:r>
    </w:p>
    <w:p w:rsidR="003F2872" w:rsidRDefault="003F2872" w:rsidP="003F2872">
      <w:pPr>
        <w:tabs>
          <w:tab w:val="left" w:pos="130"/>
        </w:tabs>
        <w:jc w:val="center"/>
      </w:pPr>
      <w:r>
        <w:rPr>
          <w:b/>
          <w:bCs/>
          <w:sz w:val="28"/>
          <w:szCs w:val="28"/>
        </w:rPr>
        <w:t xml:space="preserve">Тридцать четвертое заседание пятого созыва  </w:t>
      </w:r>
    </w:p>
    <w:p w:rsidR="003F2872" w:rsidRDefault="003F2872" w:rsidP="003F2872">
      <w:pPr>
        <w:tabs>
          <w:tab w:val="left" w:pos="130"/>
        </w:tabs>
        <w:jc w:val="center"/>
        <w:rPr>
          <w:b/>
          <w:bCs/>
          <w:sz w:val="28"/>
          <w:szCs w:val="28"/>
        </w:rPr>
      </w:pPr>
    </w:p>
    <w:p w:rsidR="003F2872" w:rsidRDefault="003F2872" w:rsidP="003F2872">
      <w:pPr>
        <w:tabs>
          <w:tab w:val="left" w:pos="130"/>
        </w:tabs>
        <w:jc w:val="center"/>
      </w:pPr>
      <w:r>
        <w:rPr>
          <w:b/>
          <w:bCs/>
          <w:sz w:val="28"/>
          <w:szCs w:val="28"/>
        </w:rPr>
        <w:t xml:space="preserve"> РЕШЕНИЕ  </w:t>
      </w:r>
    </w:p>
    <w:p w:rsidR="003F2872" w:rsidRDefault="003F2872" w:rsidP="003F2872">
      <w:pPr>
        <w:tabs>
          <w:tab w:val="left" w:pos="130"/>
        </w:tabs>
      </w:pPr>
      <w:r>
        <w:rPr>
          <w:b/>
          <w:bCs/>
          <w:sz w:val="28"/>
          <w:szCs w:val="28"/>
        </w:rPr>
        <w:t xml:space="preserve">от 16.06.2021 г.                                 № 11                                С. Бартеневка                                    </w:t>
      </w:r>
    </w:p>
    <w:p w:rsidR="003F2872" w:rsidRDefault="003F2872" w:rsidP="003F2872">
      <w:pPr>
        <w:tabs>
          <w:tab w:val="left" w:pos="130"/>
        </w:tabs>
        <w:jc w:val="center"/>
      </w:pPr>
      <w:r>
        <w:rPr>
          <w:b/>
          <w:bCs/>
          <w:spacing w:val="-4"/>
          <w:sz w:val="28"/>
          <w:szCs w:val="28"/>
        </w:rPr>
        <w:t xml:space="preserve"> </w:t>
      </w:r>
    </w:p>
    <w:p w:rsidR="003F2872" w:rsidRDefault="003F2872" w:rsidP="003F2872">
      <w:pPr>
        <w:tabs>
          <w:tab w:val="left" w:pos="130"/>
        </w:tabs>
        <w:rPr>
          <w:b/>
          <w:bCs/>
          <w:sz w:val="28"/>
          <w:szCs w:val="28"/>
        </w:rPr>
      </w:pPr>
    </w:p>
    <w:p w:rsidR="003F2872" w:rsidRDefault="003F2872" w:rsidP="003F2872">
      <w:r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kern w:val="1"/>
          <w:sz w:val="28"/>
          <w:szCs w:val="28"/>
        </w:rPr>
        <w:t xml:space="preserve">порядка взаимодействия органов местного </w:t>
      </w:r>
    </w:p>
    <w:p w:rsidR="003F2872" w:rsidRDefault="003F2872" w:rsidP="003F2872">
      <w:r>
        <w:rPr>
          <w:b/>
          <w:kern w:val="1"/>
          <w:sz w:val="28"/>
          <w:szCs w:val="28"/>
        </w:rPr>
        <w:t xml:space="preserve">самоуправления, </w:t>
      </w:r>
      <w:proofErr w:type="gramStart"/>
      <w:r>
        <w:rPr>
          <w:b/>
          <w:sz w:val="28"/>
          <w:szCs w:val="28"/>
        </w:rPr>
        <w:t>подведомственных</w:t>
      </w:r>
      <w:proofErr w:type="gramEnd"/>
      <w:r>
        <w:rPr>
          <w:b/>
          <w:sz w:val="28"/>
          <w:szCs w:val="28"/>
        </w:rPr>
        <w:t xml:space="preserve"> им муниципальных </w:t>
      </w:r>
    </w:p>
    <w:p w:rsidR="003F2872" w:rsidRDefault="003F2872" w:rsidP="003F2872">
      <w:r>
        <w:rPr>
          <w:b/>
          <w:sz w:val="28"/>
          <w:szCs w:val="28"/>
        </w:rPr>
        <w:t>учреждений</w:t>
      </w:r>
      <w:r>
        <w:rPr>
          <w:b/>
          <w:kern w:val="1"/>
          <w:sz w:val="28"/>
          <w:szCs w:val="28"/>
        </w:rPr>
        <w:t xml:space="preserve"> с организаторами </w:t>
      </w:r>
      <w:proofErr w:type="gramStart"/>
      <w:r>
        <w:rPr>
          <w:b/>
          <w:kern w:val="1"/>
          <w:sz w:val="28"/>
          <w:szCs w:val="28"/>
        </w:rPr>
        <w:t>добровольческой</w:t>
      </w:r>
      <w:proofErr w:type="gramEnd"/>
      <w:r>
        <w:rPr>
          <w:b/>
          <w:kern w:val="1"/>
          <w:sz w:val="28"/>
          <w:szCs w:val="28"/>
        </w:rPr>
        <w:t xml:space="preserve"> (волонтерской) </w:t>
      </w:r>
    </w:p>
    <w:p w:rsidR="003F2872" w:rsidRDefault="003F2872" w:rsidP="003F2872">
      <w:r>
        <w:rPr>
          <w:b/>
          <w:kern w:val="1"/>
          <w:sz w:val="28"/>
          <w:szCs w:val="28"/>
        </w:rPr>
        <w:t xml:space="preserve">деятельности, </w:t>
      </w:r>
      <w:proofErr w:type="gramStart"/>
      <w:r>
        <w:rPr>
          <w:b/>
          <w:kern w:val="1"/>
          <w:sz w:val="28"/>
          <w:szCs w:val="28"/>
        </w:rPr>
        <w:t>добровольческими</w:t>
      </w:r>
      <w:proofErr w:type="gramEnd"/>
      <w:r>
        <w:rPr>
          <w:b/>
          <w:kern w:val="1"/>
          <w:sz w:val="28"/>
          <w:szCs w:val="28"/>
        </w:rPr>
        <w:t xml:space="preserve"> (волонтерскими) </w:t>
      </w:r>
    </w:p>
    <w:p w:rsidR="003F2872" w:rsidRDefault="003F2872" w:rsidP="003F2872">
      <w:r>
        <w:rPr>
          <w:b/>
          <w:kern w:val="1"/>
          <w:sz w:val="28"/>
          <w:szCs w:val="28"/>
        </w:rPr>
        <w:t xml:space="preserve">организациями на территории </w:t>
      </w:r>
      <w:proofErr w:type="spellStart"/>
      <w:r>
        <w:rPr>
          <w:b/>
          <w:kern w:val="1"/>
          <w:sz w:val="28"/>
          <w:szCs w:val="28"/>
        </w:rPr>
        <w:t>Бартеневского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3F2872" w:rsidRDefault="003F2872" w:rsidP="003F2872">
      <w:r>
        <w:rPr>
          <w:b/>
          <w:sz w:val="28"/>
          <w:szCs w:val="28"/>
        </w:rPr>
        <w:t>муниципального образования</w:t>
      </w:r>
    </w:p>
    <w:p w:rsidR="003F2872" w:rsidRDefault="003F2872" w:rsidP="003F2872">
      <w:pPr>
        <w:jc w:val="center"/>
        <w:rPr>
          <w:b/>
          <w:color w:val="000000"/>
          <w:sz w:val="28"/>
          <w:szCs w:val="28"/>
        </w:rPr>
      </w:pPr>
    </w:p>
    <w:p w:rsidR="003F2872" w:rsidRDefault="003F2872" w:rsidP="003F2872">
      <w:pPr>
        <w:jc w:val="both"/>
      </w:pPr>
    </w:p>
    <w:p w:rsidR="003F2872" w:rsidRDefault="003F2872" w:rsidP="003F2872">
      <w:pPr>
        <w:tabs>
          <w:tab w:val="left" w:pos="11"/>
        </w:tabs>
        <w:ind w:firstLine="709"/>
        <w:jc w:val="both"/>
      </w:pPr>
      <w:r>
        <w:rPr>
          <w:kern w:val="1"/>
          <w:sz w:val="28"/>
          <w:szCs w:val="28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>
        <w:rPr>
          <w:kern w:val="1"/>
          <w:sz w:val="28"/>
          <w:szCs w:val="28"/>
        </w:rPr>
        <w:t>волонтерстве</w:t>
      </w:r>
      <w:proofErr w:type="spellEnd"/>
      <w:r>
        <w:rPr>
          <w:kern w:val="1"/>
          <w:sz w:val="28"/>
          <w:szCs w:val="28"/>
        </w:rPr>
        <w:t xml:space="preserve">)», Уставом </w:t>
      </w:r>
      <w:proofErr w:type="spellStart"/>
      <w:r>
        <w:rPr>
          <w:kern w:val="1"/>
          <w:sz w:val="28"/>
          <w:szCs w:val="28"/>
        </w:rPr>
        <w:t>Бартеневского</w:t>
      </w:r>
      <w:proofErr w:type="spellEnd"/>
      <w:r>
        <w:rPr>
          <w:kern w:val="1"/>
          <w:sz w:val="28"/>
          <w:szCs w:val="28"/>
        </w:rPr>
        <w:t xml:space="preserve"> муниципального образования, Совет  </w:t>
      </w:r>
      <w:proofErr w:type="spellStart"/>
      <w:r>
        <w:rPr>
          <w:kern w:val="1"/>
          <w:sz w:val="28"/>
          <w:szCs w:val="28"/>
        </w:rPr>
        <w:t>Бартеневского</w:t>
      </w:r>
      <w:proofErr w:type="spellEnd"/>
      <w:r>
        <w:rPr>
          <w:kern w:val="1"/>
          <w:sz w:val="28"/>
          <w:szCs w:val="28"/>
        </w:rPr>
        <w:t xml:space="preserve"> муниципального образования РЕШИЛ: </w:t>
      </w:r>
    </w:p>
    <w:p w:rsidR="003F2872" w:rsidRDefault="003F2872" w:rsidP="003F2872">
      <w:pPr>
        <w:tabs>
          <w:tab w:val="left" w:pos="11"/>
        </w:tabs>
        <w:jc w:val="both"/>
      </w:pPr>
      <w:r>
        <w:rPr>
          <w:kern w:val="1"/>
          <w:sz w:val="28"/>
          <w:szCs w:val="28"/>
        </w:rPr>
        <w:t xml:space="preserve">        1.</w:t>
      </w:r>
      <w:r>
        <w:rPr>
          <w:kern w:val="1"/>
          <w:sz w:val="28"/>
          <w:szCs w:val="28"/>
        </w:rPr>
        <w:tab/>
        <w:t xml:space="preserve">Утвердить порядок взаимодействия органов местного самоуправления, </w:t>
      </w:r>
      <w:r>
        <w:rPr>
          <w:sz w:val="28"/>
          <w:szCs w:val="28"/>
        </w:rPr>
        <w:t>подведомственных им муниципальных учреждений</w:t>
      </w:r>
      <w:r>
        <w:rPr>
          <w:kern w:val="1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>
        <w:rPr>
          <w:kern w:val="1"/>
          <w:sz w:val="28"/>
          <w:szCs w:val="28"/>
        </w:rPr>
        <w:t>Бартеневского</w:t>
      </w:r>
      <w:proofErr w:type="spellEnd"/>
      <w:r>
        <w:rPr>
          <w:kern w:val="1"/>
          <w:sz w:val="28"/>
          <w:szCs w:val="28"/>
        </w:rPr>
        <w:t xml:space="preserve"> муниципального образования.</w:t>
      </w:r>
    </w:p>
    <w:p w:rsidR="003F2872" w:rsidRDefault="003F2872" w:rsidP="003F2872">
      <w:pPr>
        <w:tabs>
          <w:tab w:val="left" w:pos="11"/>
        </w:tabs>
        <w:ind w:firstLine="567"/>
        <w:jc w:val="both"/>
      </w:pPr>
      <w:r>
        <w:rPr>
          <w:kern w:val="1"/>
          <w:sz w:val="28"/>
          <w:szCs w:val="28"/>
        </w:rPr>
        <w:t xml:space="preserve">2. Опубликовать настоящее решение в соответствии с Уставом </w:t>
      </w:r>
      <w:proofErr w:type="spellStart"/>
      <w:r>
        <w:rPr>
          <w:kern w:val="1"/>
          <w:sz w:val="28"/>
          <w:szCs w:val="28"/>
        </w:rPr>
        <w:t>Бартеневского</w:t>
      </w:r>
      <w:proofErr w:type="spellEnd"/>
      <w:r>
        <w:rPr>
          <w:kern w:val="1"/>
          <w:sz w:val="28"/>
          <w:szCs w:val="28"/>
        </w:rPr>
        <w:t xml:space="preserve"> муниципального образования.</w:t>
      </w:r>
    </w:p>
    <w:p w:rsidR="003F2872" w:rsidRDefault="003F2872" w:rsidP="003F2872">
      <w:pPr>
        <w:tabs>
          <w:tab w:val="left" w:pos="11"/>
        </w:tabs>
        <w:ind w:firstLine="567"/>
        <w:jc w:val="both"/>
      </w:pPr>
      <w:r>
        <w:rPr>
          <w:kern w:val="1"/>
          <w:sz w:val="28"/>
          <w:szCs w:val="28"/>
        </w:rPr>
        <w:t>3. Настоящее решение вступает в силу со дня его опубликования.</w:t>
      </w:r>
    </w:p>
    <w:p w:rsidR="003F2872" w:rsidRDefault="003F2872" w:rsidP="003F2872">
      <w:pPr>
        <w:keepNext/>
        <w:jc w:val="both"/>
        <w:rPr>
          <w:sz w:val="28"/>
          <w:szCs w:val="28"/>
        </w:rPr>
      </w:pPr>
    </w:p>
    <w:p w:rsidR="003F2872" w:rsidRDefault="003F2872" w:rsidP="003F2872">
      <w:pPr>
        <w:keepNext/>
        <w:jc w:val="both"/>
        <w:rPr>
          <w:sz w:val="28"/>
          <w:szCs w:val="28"/>
        </w:rPr>
      </w:pPr>
    </w:p>
    <w:p w:rsidR="003F2872" w:rsidRDefault="003F2872" w:rsidP="003F2872">
      <w:pPr>
        <w:keepNext/>
        <w:jc w:val="both"/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3F2872" w:rsidRDefault="003F2872" w:rsidP="003F2872">
      <w:pPr>
        <w:keepNext/>
        <w:jc w:val="both"/>
      </w:pPr>
      <w:r>
        <w:rPr>
          <w:b/>
          <w:sz w:val="28"/>
          <w:szCs w:val="28"/>
        </w:rPr>
        <w:t>муниципального образования                                            Р.Е.Скипа</w:t>
      </w:r>
    </w:p>
    <w:p w:rsidR="003F2872" w:rsidRDefault="003F2872" w:rsidP="003F2872">
      <w:pPr>
        <w:keepNext/>
        <w:jc w:val="both"/>
        <w:rPr>
          <w:b/>
          <w:sz w:val="28"/>
          <w:szCs w:val="28"/>
        </w:rPr>
      </w:pPr>
    </w:p>
    <w:p w:rsidR="003F2872" w:rsidRDefault="003F2872" w:rsidP="003F2872">
      <w:pPr>
        <w:keepNext/>
        <w:jc w:val="both"/>
        <w:rPr>
          <w:b/>
          <w:sz w:val="28"/>
          <w:szCs w:val="28"/>
        </w:rPr>
      </w:pPr>
    </w:p>
    <w:p w:rsidR="003F2872" w:rsidRDefault="003F2872" w:rsidP="003F2872">
      <w:pPr>
        <w:keepNext/>
        <w:jc w:val="both"/>
        <w:rPr>
          <w:b/>
          <w:sz w:val="28"/>
          <w:szCs w:val="28"/>
        </w:rPr>
      </w:pPr>
    </w:p>
    <w:p w:rsidR="003F2872" w:rsidRDefault="003F2872" w:rsidP="003F2872">
      <w:pPr>
        <w:keepNext/>
        <w:jc w:val="both"/>
        <w:rPr>
          <w:b/>
          <w:sz w:val="28"/>
          <w:szCs w:val="28"/>
        </w:rPr>
      </w:pPr>
    </w:p>
    <w:p w:rsidR="003F2872" w:rsidRDefault="003F2872" w:rsidP="003F2872">
      <w:pPr>
        <w:keepNext/>
        <w:jc w:val="both"/>
        <w:rPr>
          <w:b/>
          <w:sz w:val="28"/>
          <w:szCs w:val="28"/>
        </w:rPr>
      </w:pPr>
    </w:p>
    <w:p w:rsidR="003F2872" w:rsidRDefault="003F2872" w:rsidP="003F2872">
      <w:pPr>
        <w:jc w:val="both"/>
        <w:rPr>
          <w:b/>
          <w:sz w:val="28"/>
          <w:szCs w:val="28"/>
        </w:rPr>
      </w:pPr>
    </w:p>
    <w:p w:rsidR="003F2872" w:rsidRDefault="003F2872" w:rsidP="003F2872">
      <w:pPr>
        <w:ind w:left="57" w:right="57"/>
        <w:rPr>
          <w:b/>
          <w:i/>
          <w:color w:val="FF0000"/>
          <w:sz w:val="28"/>
          <w:szCs w:val="28"/>
        </w:rPr>
      </w:pPr>
    </w:p>
    <w:p w:rsidR="003F2872" w:rsidRDefault="003F2872" w:rsidP="003F2872">
      <w:pPr>
        <w:ind w:left="57" w:right="57"/>
        <w:rPr>
          <w:i/>
          <w:color w:val="FF0000"/>
          <w:sz w:val="28"/>
          <w:szCs w:val="28"/>
        </w:rPr>
      </w:pPr>
    </w:p>
    <w:p w:rsidR="003F2872" w:rsidRDefault="003F2872" w:rsidP="003F2872">
      <w:pPr>
        <w:ind w:left="57" w:right="57"/>
        <w:rPr>
          <w:i/>
          <w:color w:val="FF0000"/>
          <w:sz w:val="28"/>
          <w:szCs w:val="28"/>
        </w:rPr>
      </w:pPr>
    </w:p>
    <w:p w:rsidR="003F2872" w:rsidRDefault="003F2872" w:rsidP="003F2872">
      <w:pPr>
        <w:ind w:left="57" w:right="57"/>
        <w:rPr>
          <w:i/>
          <w:color w:val="FF0000"/>
          <w:sz w:val="28"/>
          <w:szCs w:val="28"/>
        </w:rPr>
      </w:pPr>
    </w:p>
    <w:p w:rsidR="003F2872" w:rsidRDefault="003F2872" w:rsidP="003F2872">
      <w:pPr>
        <w:ind w:left="57" w:right="57"/>
        <w:rPr>
          <w:i/>
          <w:color w:val="FF0000"/>
          <w:sz w:val="28"/>
          <w:szCs w:val="28"/>
        </w:rPr>
      </w:pPr>
    </w:p>
    <w:p w:rsidR="003F2872" w:rsidRDefault="003F2872" w:rsidP="003F2872">
      <w:pPr>
        <w:jc w:val="right"/>
      </w:pPr>
      <w:r>
        <w:rPr>
          <w:sz w:val="28"/>
          <w:szCs w:val="28"/>
        </w:rPr>
        <w:lastRenderedPageBreak/>
        <w:t>Приложение к решению</w:t>
      </w:r>
    </w:p>
    <w:p w:rsidR="003F2872" w:rsidRDefault="003F2872" w:rsidP="003F2872">
      <w:pPr>
        <w:jc w:val="right"/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</w:t>
      </w:r>
    </w:p>
    <w:p w:rsidR="003F2872" w:rsidRDefault="003F2872" w:rsidP="003F2872">
      <w:pPr>
        <w:jc w:val="right"/>
      </w:pPr>
      <w:r>
        <w:rPr>
          <w:sz w:val="28"/>
          <w:szCs w:val="28"/>
        </w:rPr>
        <w:t xml:space="preserve">муниципального образования </w:t>
      </w:r>
    </w:p>
    <w:p w:rsidR="003F2872" w:rsidRDefault="003F2872" w:rsidP="003F2872">
      <w:pPr>
        <w:jc w:val="right"/>
      </w:pPr>
      <w:r>
        <w:rPr>
          <w:sz w:val="28"/>
          <w:szCs w:val="28"/>
        </w:rPr>
        <w:t>от 16.06.2021 г. № 11</w:t>
      </w:r>
    </w:p>
    <w:p w:rsidR="003F2872" w:rsidRDefault="003F2872" w:rsidP="003F2872">
      <w:pPr>
        <w:jc w:val="right"/>
        <w:rPr>
          <w:sz w:val="28"/>
          <w:szCs w:val="28"/>
        </w:rPr>
      </w:pPr>
    </w:p>
    <w:p w:rsidR="003F2872" w:rsidRDefault="003F2872" w:rsidP="003F2872">
      <w:pPr>
        <w:jc w:val="right"/>
        <w:rPr>
          <w:sz w:val="28"/>
          <w:szCs w:val="28"/>
        </w:rPr>
      </w:pPr>
    </w:p>
    <w:p w:rsidR="003F2872" w:rsidRDefault="003F2872" w:rsidP="003F2872">
      <w:pPr>
        <w:tabs>
          <w:tab w:val="left" w:pos="11"/>
        </w:tabs>
        <w:jc w:val="center"/>
      </w:pPr>
      <w:r>
        <w:rPr>
          <w:b/>
          <w:sz w:val="28"/>
          <w:szCs w:val="28"/>
        </w:rPr>
        <w:t xml:space="preserve">Порядок </w:t>
      </w:r>
      <w:r>
        <w:rPr>
          <w:b/>
          <w:kern w:val="1"/>
          <w:sz w:val="28"/>
          <w:szCs w:val="28"/>
        </w:rPr>
        <w:t xml:space="preserve">взаимодействия органов местного самоуправления, </w:t>
      </w:r>
      <w:r>
        <w:rPr>
          <w:b/>
          <w:sz w:val="28"/>
          <w:szCs w:val="28"/>
        </w:rPr>
        <w:t>подведомственных им муниципальных учреждений</w:t>
      </w:r>
      <w:r>
        <w:rPr>
          <w:b/>
          <w:kern w:val="1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>
        <w:rPr>
          <w:b/>
          <w:kern w:val="1"/>
          <w:sz w:val="28"/>
          <w:szCs w:val="28"/>
        </w:rPr>
        <w:t>Бартеневского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3F2872" w:rsidRDefault="003F2872" w:rsidP="003F2872">
      <w:pPr>
        <w:tabs>
          <w:tab w:val="left" w:pos="11"/>
        </w:tabs>
        <w:jc w:val="both"/>
        <w:rPr>
          <w:kern w:val="1"/>
          <w:sz w:val="28"/>
          <w:szCs w:val="28"/>
        </w:rPr>
      </w:pPr>
    </w:p>
    <w:p w:rsidR="003F2872" w:rsidRDefault="003F2872" w:rsidP="003F2872">
      <w:pPr>
        <w:tabs>
          <w:tab w:val="left" w:pos="11"/>
        </w:tabs>
        <w:jc w:val="center"/>
      </w:pPr>
      <w:r>
        <w:rPr>
          <w:sz w:val="28"/>
          <w:szCs w:val="28"/>
        </w:rPr>
        <w:t>I. Общие положения</w:t>
      </w:r>
    </w:p>
    <w:p w:rsidR="003F2872" w:rsidRDefault="003F2872" w:rsidP="003F2872">
      <w:pPr>
        <w:pStyle w:val="1"/>
        <w:widowControl w:val="0"/>
        <w:ind w:firstLine="567"/>
        <w:jc w:val="both"/>
        <w:rPr>
          <w:b w:val="0"/>
          <w:lang w:val="ru-RU" w:eastAsia="ru-RU"/>
        </w:rPr>
      </w:pPr>
    </w:p>
    <w:p w:rsidR="003F2872" w:rsidRDefault="003F2872" w:rsidP="003F2872">
      <w:pPr>
        <w:pStyle w:val="1"/>
        <w:widowControl w:val="0"/>
        <w:ind w:firstLine="567"/>
        <w:jc w:val="both"/>
      </w:pPr>
      <w:r>
        <w:rPr>
          <w:b w:val="0"/>
        </w:rPr>
        <w:tab/>
        <w:t>1. 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>
        <w:rPr>
          <w:b w:val="0"/>
        </w:rPr>
        <w:t>волонтерстве</w:t>
      </w:r>
      <w:proofErr w:type="spellEnd"/>
      <w:r>
        <w:rPr>
          <w:b w:val="0"/>
        </w:rPr>
        <w:t xml:space="preserve"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>
        <w:rPr>
          <w:b w:val="0"/>
        </w:rPr>
        <w:t>Бартеневского</w:t>
      </w:r>
      <w:proofErr w:type="spellEnd"/>
      <w:r>
        <w:rPr>
          <w:b w:val="0"/>
        </w:rPr>
        <w:t xml:space="preserve"> муниципального образования.</w:t>
      </w:r>
    </w:p>
    <w:p w:rsidR="003F2872" w:rsidRDefault="003F2872" w:rsidP="003F2872">
      <w:pPr>
        <w:ind w:firstLine="567"/>
      </w:pPr>
      <w:r>
        <w:rPr>
          <w:sz w:val="28"/>
          <w:szCs w:val="28"/>
        </w:rPr>
        <w:tab/>
        <w:t>2. Понятия, используемые в настоящем Порядке, применяются в значениях, установленных Федеральным законом от 11.08.1995 года  № 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)».</w:t>
      </w:r>
    </w:p>
    <w:p w:rsidR="003F2872" w:rsidRDefault="003F2872" w:rsidP="003F2872">
      <w:pPr>
        <w:ind w:firstLine="567"/>
        <w:rPr>
          <w:sz w:val="28"/>
          <w:szCs w:val="28"/>
        </w:rPr>
      </w:pPr>
    </w:p>
    <w:p w:rsidR="003F2872" w:rsidRDefault="003F2872" w:rsidP="003F2872">
      <w:pPr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Требования к взаимодействию</w:t>
      </w:r>
    </w:p>
    <w:p w:rsidR="003F2872" w:rsidRDefault="003F2872" w:rsidP="003F2872">
      <w:pPr>
        <w:jc w:val="center"/>
        <w:rPr>
          <w:sz w:val="28"/>
          <w:szCs w:val="28"/>
        </w:rPr>
      </w:pP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обмен информацией, необходимой для популяризации добровольческой (волонтерской) деятельности;</w:t>
      </w:r>
      <w:proofErr w:type="gramEnd"/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- оказание консультационной и методической поддержки организаторам добровольческой</w:t>
      </w:r>
      <w:r>
        <w:rPr>
          <w:sz w:val="28"/>
          <w:szCs w:val="28"/>
        </w:rPr>
        <w:tab/>
        <w:t>(волонтерской)</w:t>
      </w:r>
      <w:r>
        <w:rPr>
          <w:sz w:val="28"/>
          <w:szCs w:val="28"/>
        </w:rPr>
        <w:tab/>
        <w:t xml:space="preserve">деятельности, добровольческим (волонтерским) организациям; </w:t>
      </w:r>
    </w:p>
    <w:p w:rsidR="003F2872" w:rsidRDefault="003F2872" w:rsidP="003F2872">
      <w:pPr>
        <w:ind w:left="21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3F2872" w:rsidRDefault="003F2872" w:rsidP="003F2872">
      <w:pPr>
        <w:ind w:left="21"/>
        <w:jc w:val="both"/>
      </w:pPr>
      <w:r>
        <w:rPr>
          <w:sz w:val="28"/>
          <w:szCs w:val="28"/>
        </w:rPr>
        <w:tab/>
        <w:t xml:space="preserve">- содействие в организации участия организаторов добровольческой (волонтерской) деятельности, добровольческих (волонтерских) организаций в </w:t>
      </w:r>
      <w:r>
        <w:rPr>
          <w:sz w:val="28"/>
          <w:szCs w:val="28"/>
        </w:rPr>
        <w:lastRenderedPageBreak/>
        <w:t xml:space="preserve">мероприятиях, проводимых на территории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3F2872" w:rsidRDefault="003F2872" w:rsidP="003F2872">
      <w:pPr>
        <w:ind w:left="21" w:firstLine="687"/>
        <w:jc w:val="both"/>
      </w:pPr>
      <w:r>
        <w:rPr>
          <w:sz w:val="28"/>
          <w:szCs w:val="28"/>
        </w:rPr>
        <w:t>- иных формах, не противоречащих законодательству.</w:t>
      </w:r>
    </w:p>
    <w:p w:rsidR="003F2872" w:rsidRDefault="003F2872" w:rsidP="003F2872">
      <w:pPr>
        <w:ind w:left="21"/>
        <w:jc w:val="both"/>
      </w:pPr>
      <w:r>
        <w:rPr>
          <w:sz w:val="28"/>
          <w:szCs w:val="28"/>
        </w:rPr>
        <w:tab/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 xml:space="preserve">в) государственный регистрационный номер, содержащийся в </w:t>
      </w:r>
      <w:proofErr w:type="gramStart"/>
      <w:r>
        <w:rPr>
          <w:sz w:val="28"/>
          <w:szCs w:val="28"/>
        </w:rPr>
        <w:t>Едином</w:t>
      </w:r>
      <w:proofErr w:type="gramEnd"/>
    </w:p>
    <w:p w:rsidR="003F2872" w:rsidRDefault="003F2872" w:rsidP="003F2872">
      <w:pPr>
        <w:jc w:val="both"/>
      </w:pPr>
      <w:r>
        <w:rPr>
          <w:sz w:val="28"/>
          <w:szCs w:val="28"/>
        </w:rPr>
        <w:t xml:space="preserve">государственном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юридических лиц;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rPr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 xml:space="preserve">- о принятии предложения; 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F2872" w:rsidRDefault="003F2872" w:rsidP="003F2872">
      <w:pPr>
        <w:ind w:left="14"/>
        <w:jc w:val="both"/>
      </w:pPr>
      <w:r>
        <w:rPr>
          <w:sz w:val="28"/>
          <w:szCs w:val="28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F2872" w:rsidRDefault="003F2872" w:rsidP="003F2872">
      <w:pPr>
        <w:ind w:firstLine="708"/>
        <w:jc w:val="both"/>
      </w:pPr>
      <w:r>
        <w:rPr>
          <w:sz w:val="28"/>
          <w:szCs w:val="28"/>
        </w:rPr>
        <w:lastRenderedPageBreak/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3F2872" w:rsidRDefault="003F2872" w:rsidP="003F2872">
      <w:pPr>
        <w:ind w:left="14"/>
        <w:jc w:val="both"/>
      </w:pPr>
      <w:r>
        <w:rPr>
          <w:sz w:val="28"/>
          <w:szCs w:val="28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б) о правовых нормах, регламентирующих работу органа местного самоуправления, учреждения;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е) об иных условиях осуществления добровольческой деятельности.</w:t>
      </w:r>
    </w:p>
    <w:p w:rsidR="003F2872" w:rsidRDefault="003F2872" w:rsidP="003F2872">
      <w:pPr>
        <w:ind w:left="14"/>
        <w:jc w:val="both"/>
      </w:pPr>
      <w:r>
        <w:rPr>
          <w:sz w:val="28"/>
          <w:szCs w:val="28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3F2872" w:rsidRDefault="003F2872" w:rsidP="003F2872">
      <w:pPr>
        <w:ind w:left="14" w:firstLine="694"/>
        <w:jc w:val="both"/>
      </w:pPr>
      <w:r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3F2872" w:rsidRDefault="003F2872" w:rsidP="003F2872">
      <w:pPr>
        <w:ind w:left="14"/>
        <w:jc w:val="both"/>
      </w:pPr>
      <w:r>
        <w:rPr>
          <w:sz w:val="28"/>
          <w:szCs w:val="28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8. Соглашение должно предусматривать: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б) условия осуществления добровольческой деятельности;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lastRenderedPageBreak/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F2872" w:rsidRDefault="003F2872" w:rsidP="003F2872">
      <w:pPr>
        <w:jc w:val="both"/>
      </w:pPr>
      <w:r>
        <w:rPr>
          <w:sz w:val="28"/>
          <w:szCs w:val="28"/>
        </w:rPr>
        <w:tab/>
        <w:t>и) иные положения, не противоречащие законодательству Российской Федерации.</w:t>
      </w:r>
    </w:p>
    <w:p w:rsidR="003F2872" w:rsidRDefault="003F2872" w:rsidP="003F2872">
      <w:pPr>
        <w:ind w:firstLine="708"/>
        <w:jc w:val="both"/>
      </w:pPr>
      <w:r>
        <w:rPr>
          <w:sz w:val="28"/>
          <w:szCs w:val="28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>
        <w:rPr>
          <w:sz w:val="28"/>
          <w:szCs w:val="28"/>
        </w:rPr>
        <w:t>взаимодействия</w:t>
      </w:r>
      <w:proofErr w:type="gramEnd"/>
      <w:r>
        <w:rPr>
          <w:sz w:val="28"/>
          <w:szCs w:val="28"/>
        </w:rPr>
        <w:t xml:space="preserve"> в том числе путем проведения обсуждений, встреч, совещаний.</w:t>
      </w:r>
    </w:p>
    <w:p w:rsidR="003F2872" w:rsidRDefault="003F2872" w:rsidP="003F2872">
      <w:pPr>
        <w:ind w:firstLine="708"/>
        <w:jc w:val="both"/>
      </w:pPr>
      <w:r>
        <w:rPr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3F2872" w:rsidRDefault="003F2872" w:rsidP="003F2872">
      <w:pPr>
        <w:ind w:firstLine="708"/>
        <w:jc w:val="both"/>
      </w:pPr>
      <w:r>
        <w:rPr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3F2872" w:rsidRDefault="003F2872" w:rsidP="003F2872">
      <w:pPr>
        <w:ind w:firstLine="708"/>
        <w:jc w:val="both"/>
      </w:pPr>
      <w:r>
        <w:rPr>
          <w:sz w:val="28"/>
          <w:szCs w:val="28"/>
        </w:rPr>
        <w:t xml:space="preserve"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3F2872" w:rsidRDefault="003F2872" w:rsidP="003F2872">
      <w:pPr>
        <w:pStyle w:val="BodyTextIndent3"/>
        <w:ind w:left="0"/>
        <w:rPr>
          <w:rFonts w:ascii="Times New Roman" w:hAnsi="Times New Roman" w:cs="Times New Roman"/>
          <w:sz w:val="28"/>
          <w:szCs w:val="28"/>
        </w:rPr>
      </w:pPr>
    </w:p>
    <w:p w:rsidR="003F2872" w:rsidRDefault="003F2872" w:rsidP="003F2872">
      <w:pPr>
        <w:pStyle w:val="BodyTextIndent3"/>
        <w:ind w:left="0"/>
        <w:rPr>
          <w:rFonts w:ascii="Times New Roman" w:hAnsi="Times New Roman" w:cs="Times New Roman"/>
          <w:sz w:val="28"/>
          <w:szCs w:val="28"/>
        </w:rPr>
      </w:pPr>
    </w:p>
    <w:p w:rsidR="003F2872" w:rsidRDefault="003F2872" w:rsidP="003F2872">
      <w:pPr>
        <w:pStyle w:val="BodyTextIndent3"/>
        <w:ind w:left="0"/>
        <w:rPr>
          <w:rFonts w:ascii="Times New Roman" w:hAnsi="Times New Roman" w:cs="Times New Roman"/>
          <w:sz w:val="28"/>
          <w:szCs w:val="28"/>
        </w:rPr>
      </w:pPr>
    </w:p>
    <w:p w:rsidR="003F2872" w:rsidRDefault="003F2872" w:rsidP="003F2872">
      <w:pPr>
        <w:pStyle w:val="BodyTextIndent3"/>
        <w:ind w:left="0"/>
        <w:rPr>
          <w:rFonts w:ascii="Times New Roman" w:hAnsi="Times New Roman" w:cs="Times New Roman"/>
          <w:sz w:val="28"/>
          <w:szCs w:val="28"/>
        </w:rPr>
      </w:pPr>
    </w:p>
    <w:p w:rsidR="003F2872" w:rsidRDefault="003F2872" w:rsidP="003F2872">
      <w:pPr>
        <w:pStyle w:val="BodyTextIndent3"/>
        <w:shd w:val="clear" w:color="auto" w:fill="FFFFFF"/>
        <w:spacing w:line="240" w:lineRule="exac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2872" w:rsidRDefault="003F2872" w:rsidP="003F2872">
      <w:pPr>
        <w:pStyle w:val="BodyTextIndent3"/>
        <w:shd w:val="clear" w:color="auto" w:fill="FFFFFF"/>
        <w:spacing w:line="240" w:lineRule="exac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2872" w:rsidRDefault="003F2872" w:rsidP="003F2872">
      <w:pPr>
        <w:pStyle w:val="WW-BodyTextIndent3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723D" w:rsidRDefault="003F2872"/>
    <w:sectPr w:rsidR="0026723D">
      <w:pgSz w:w="11906" w:h="16838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872"/>
    <w:rsid w:val="003F2872"/>
    <w:rsid w:val="0051360F"/>
    <w:rsid w:val="009D53CC"/>
    <w:rsid w:val="009E2830"/>
    <w:rsid w:val="00BF55D2"/>
    <w:rsid w:val="00C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72"/>
    <w:pPr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F2872"/>
    <w:pPr>
      <w:keepNext/>
      <w:numPr>
        <w:numId w:val="1"/>
      </w:numPr>
      <w:overflowPunct/>
      <w:autoSpaceDE/>
      <w:jc w:val="center"/>
      <w:textAlignment w:val="auto"/>
      <w:outlineLvl w:val="0"/>
    </w:pPr>
    <w:rPr>
      <w:rFonts w:eastAsia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872"/>
    <w:rPr>
      <w:rFonts w:ascii="Times New Roman" w:eastAsia="Calibri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BodyTextIndent3">
    <w:name w:val="Body Text Indent 3"/>
    <w:basedOn w:val="a"/>
    <w:rsid w:val="003F2872"/>
    <w:pPr>
      <w:ind w:left="-561"/>
      <w:jc w:val="both"/>
    </w:pPr>
    <w:rPr>
      <w:rFonts w:ascii="Courier New" w:hAnsi="Courier New" w:cs="Courier New"/>
      <w:sz w:val="24"/>
    </w:rPr>
  </w:style>
  <w:style w:type="paragraph" w:customStyle="1" w:styleId="WW-BodyTextIndent3">
    <w:name w:val="WW-Body Text Indent 3"/>
    <w:basedOn w:val="a"/>
    <w:rsid w:val="003F2872"/>
    <w:pPr>
      <w:ind w:firstLine="763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2021-07-06T11:39:00Z</dcterms:created>
  <dcterms:modified xsi:type="dcterms:W3CDTF">2021-07-06T11:40:00Z</dcterms:modified>
</cp:coreProperties>
</file>