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АДМИНИСТРАЦИЯ</w:t>
      </w:r>
    </w:p>
    <w:p>
      <w:pPr>
        <w:pStyle w:val="Standard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БАРТЕНЕВСКОГО МУНИЦИПАЛЬНОГО  ОБРАЗОВАНИЯ</w:t>
      </w:r>
    </w:p>
    <w:p>
      <w:pPr>
        <w:pStyle w:val="Standard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>
      <w:pPr>
        <w:pStyle w:val="Standard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САРАТОВСКОЙ ОБЛАСТИ</w:t>
      </w:r>
    </w:p>
    <w:p>
      <w:pPr>
        <w:pStyle w:val="Standard"/>
        <w:spacing w:lineRule="auto" w:line="36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andard"/>
        <w:spacing w:lineRule="auto" w:line="360"/>
        <w:jc w:val="center"/>
        <w:rPr/>
      </w:pPr>
      <w:r>
        <w:rPr>
          <w:rFonts w:cs="Times New Roman"/>
          <w:b/>
          <w:sz w:val="28"/>
          <w:szCs w:val="28"/>
        </w:rPr>
        <w:t>ПОСТАНОВЛЕНИЕ</w:t>
      </w:r>
    </w:p>
    <w:p>
      <w:pPr>
        <w:pStyle w:val="Standard"/>
        <w:spacing w:lineRule="auto" w:line="360"/>
        <w:jc w:val="center"/>
        <w:rPr/>
      </w:pP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№</w:t>
      </w:r>
      <w:r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1</w:t>
      </w:r>
    </w:p>
    <w:p>
      <w:pPr>
        <w:pStyle w:val="Standard"/>
        <w:tabs>
          <w:tab w:val="center" w:pos="4535" w:leader="none"/>
        </w:tabs>
        <w:spacing w:lineRule="auto" w:line="360"/>
        <w:rPr/>
      </w:pPr>
      <w:r>
        <w:rPr>
          <w:rFonts w:cs="Times New Roman"/>
          <w:b/>
          <w:sz w:val="26"/>
          <w:szCs w:val="26"/>
        </w:rPr>
        <w:t>От 0</w:t>
      </w:r>
      <w:r>
        <w:rPr>
          <w:rFonts w:cs="Times New Roman"/>
          <w:b/>
          <w:sz w:val="26"/>
          <w:szCs w:val="26"/>
        </w:rPr>
        <w:t>7</w:t>
      </w:r>
      <w:r>
        <w:rPr>
          <w:rFonts w:cs="Times New Roman"/>
          <w:b/>
          <w:sz w:val="26"/>
          <w:szCs w:val="26"/>
        </w:rPr>
        <w:t xml:space="preserve">.04. 2021 года                                                        </w:t>
        <w:tab/>
        <w:t>с. Бартеневка</w:t>
      </w:r>
    </w:p>
    <w:p>
      <w:pPr>
        <w:pStyle w:val="Standard"/>
        <w:tabs>
          <w:tab w:val="center" w:pos="4535" w:leader="none"/>
        </w:tabs>
        <w:spacing w:lineRule="auto" w:line="360"/>
        <w:rPr/>
      </w:pPr>
      <w:r>
        <w:rPr>
          <w:rFonts w:cs="Times New Roman"/>
          <w:b/>
          <w:sz w:val="28"/>
          <w:szCs w:val="28"/>
        </w:rPr>
        <w:t>Об утверждении муниципальной программы</w:t>
      </w:r>
    </w:p>
    <w:p>
      <w:pPr>
        <w:pStyle w:val="Standard"/>
        <w:rPr/>
      </w:pPr>
      <w:r>
        <w:rPr>
          <w:rFonts w:cs="Times New Roman"/>
          <w:b/>
          <w:sz w:val="28"/>
          <w:szCs w:val="28"/>
        </w:rPr>
        <w:t>«Использование  и  охрана  земель  на территории</w:t>
      </w:r>
    </w:p>
    <w:p>
      <w:pPr>
        <w:pStyle w:val="Standard"/>
        <w:rPr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Бартеневского</w:t>
      </w:r>
      <w:r>
        <w:rPr>
          <w:rFonts w:cs="Times New Roman"/>
          <w:b/>
          <w:sz w:val="28"/>
          <w:szCs w:val="28"/>
        </w:rPr>
        <w:t xml:space="preserve">  муниципального образования</w:t>
      </w:r>
    </w:p>
    <w:p>
      <w:pPr>
        <w:pStyle w:val="Standard"/>
        <w:rPr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Ивантеевского муниципального района Саратовской</w:t>
      </w:r>
    </w:p>
    <w:p>
      <w:pPr>
        <w:pStyle w:val="Standard"/>
        <w:rPr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области на 2021 -2023 годы»</w:t>
      </w:r>
    </w:p>
    <w:p>
      <w:pPr>
        <w:pStyle w:val="Standard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Бартеневского муниципального образования Ивантеевского муниципального района Саратовской области, Администрация Бартеневского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Standard"/>
        <w:ind w:firstLine="284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Утвердить муниципальную программу  «Использование  и  охрана  земель  на территории Бартеневского  муниципального образования  Ивантеевского муниципального района Саратовской области на 2021 -2023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годы».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suppressAutoHyphens w:val="true"/>
        <w:spacing w:lineRule="auto" w:line="240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Опубликовать настоящее Постанов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ление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 информационном бюллетене «Бартеневский  Вестник» и разместить на официальном сайте   Ивантеевского муниципального района, в разделе « Бартеневское  муниципальное образование», в сети «Интернет».</w:t>
      </w:r>
    </w:p>
    <w:p>
      <w:pPr>
        <w:pStyle w:val="Standard"/>
        <w:numPr>
          <w:ilvl w:val="0"/>
          <w:numId w:val="2"/>
        </w:numPr>
        <w:tabs>
          <w:tab w:val="left" w:pos="0" w:leader="none"/>
        </w:tabs>
        <w:rPr/>
      </w:pPr>
      <w:r>
        <w:rPr>
          <w:rFonts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>
      <w:pPr>
        <w:pStyle w:val="Standard"/>
        <w:numPr>
          <w:ilvl w:val="0"/>
          <w:numId w:val="2"/>
        </w:numPr>
        <w:tabs>
          <w:tab w:val="left" w:pos="0" w:leader="none"/>
        </w:tabs>
        <w:rPr/>
      </w:pPr>
      <w:r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Бартеневского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                                             Р.Е.Скипа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tbl>
      <w:tblPr>
        <w:tblW w:w="9287" w:type="dxa"/>
        <w:jc w:val="left"/>
        <w:tblInd w:w="-206" w:type="dxa"/>
        <w:tblBorders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574"/>
        <w:gridCol w:w="4712"/>
      </w:tblGrid>
      <w:tr>
        <w:trPr/>
        <w:tc>
          <w:tcPr>
            <w:tcW w:w="4574" w:type="dxa"/>
            <w:tcBorders/>
            <w:shd w:fill="auto" w:val="clear"/>
          </w:tcPr>
          <w:p>
            <w:pPr>
              <w:pStyle w:val="Standard"/>
              <w:snapToGrid w:val="false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712" w:type="dxa"/>
            <w:tcBorders/>
            <w:shd w:fill="auto" w:val="clear"/>
          </w:tcPr>
          <w:p>
            <w:pPr>
              <w:pStyle w:val="Standard"/>
              <w:ind w:firstLine="567"/>
              <w:jc w:val="right"/>
              <w:rPr/>
            </w:pPr>
            <w:r>
              <w:rPr/>
            </w:r>
          </w:p>
          <w:p>
            <w:pPr>
              <w:pStyle w:val="Standard"/>
              <w:ind w:firstLine="567"/>
              <w:jc w:val="right"/>
              <w:rPr/>
            </w:pPr>
            <w:r>
              <w:rPr/>
              <w:t>УТВЕРЖДЕНО</w:t>
            </w:r>
          </w:p>
          <w:p>
            <w:pPr>
              <w:pStyle w:val="Standard"/>
              <w:ind w:firstLine="567"/>
              <w:jc w:val="right"/>
              <w:rPr/>
            </w:pPr>
            <w:r>
              <w:rPr/>
              <w:t>постановлением Администрации</w:t>
            </w:r>
          </w:p>
          <w:p>
            <w:pPr>
              <w:pStyle w:val="Standard"/>
              <w:ind w:firstLine="567"/>
              <w:jc w:val="right"/>
              <w:rPr/>
            </w:pPr>
            <w:r>
              <w:rPr/>
              <w:t>Бартеневского муниципального образования</w:t>
            </w:r>
          </w:p>
          <w:p>
            <w:pPr>
              <w:pStyle w:val="Standard"/>
              <w:ind w:firstLine="567"/>
              <w:jc w:val="right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Ивантеевского муниципального района</w:t>
            </w:r>
          </w:p>
          <w:p>
            <w:pPr>
              <w:pStyle w:val="Standard"/>
              <w:ind w:firstLine="567"/>
              <w:jc w:val="right"/>
              <w:rPr/>
            </w:pPr>
            <w:r>
              <w:rPr/>
              <w:t>Саратовской  области</w:t>
            </w:r>
          </w:p>
          <w:p>
            <w:pPr>
              <w:pStyle w:val="Standard"/>
              <w:ind w:firstLine="567"/>
              <w:jc w:val="right"/>
              <w:rPr/>
            </w:pPr>
            <w:r>
              <w:rPr/>
              <w:t xml:space="preserve">от </w:t>
            </w:r>
            <w:r>
              <w:rPr>
                <w:u w:val="single"/>
              </w:rPr>
              <w:t>« 0</w:t>
            </w:r>
            <w:r>
              <w:rPr>
                <w:u w:val="single"/>
              </w:rPr>
              <w:t>7</w:t>
            </w:r>
            <w:r>
              <w:rPr>
                <w:u w:val="single"/>
              </w:rPr>
              <w:t xml:space="preserve">» апреля 2021 </w:t>
            </w:r>
            <w:r>
              <w:rPr/>
              <w:t xml:space="preserve">№ 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</w:p>
          <w:p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Standard"/>
        <w:jc w:val="both"/>
        <w:rPr>
          <w:bCs/>
        </w:rPr>
      </w:pPr>
      <w:r>
        <w:rPr>
          <w:bCs/>
        </w:rPr>
      </w:r>
    </w:p>
    <w:p>
      <w:pPr>
        <w:pStyle w:val="Standard"/>
        <w:spacing w:lineRule="atLeast" w:line="297" w:before="0" w:after="143"/>
        <w:jc w:val="center"/>
        <w:rPr/>
      </w:pPr>
      <w:r>
        <w:rPr>
          <w:bCs/>
          <w:sz w:val="28"/>
          <w:szCs w:val="28"/>
        </w:rPr>
        <w:t>ПАСПОРТ</w:t>
      </w:r>
    </w:p>
    <w:p>
      <w:pPr>
        <w:pStyle w:val="Standard"/>
        <w:spacing w:lineRule="atLeast" w:line="297" w:before="0" w:after="143"/>
        <w:rPr/>
      </w:pPr>
      <w:r>
        <w:rPr>
          <w:bCs/>
          <w:sz w:val="28"/>
          <w:szCs w:val="28"/>
        </w:rPr>
        <w:t xml:space="preserve">муниципальной программы </w:t>
      </w:r>
      <w:r>
        <w:rPr>
          <w:rFonts w:cs="Times New Roman"/>
          <w:bCs/>
          <w:sz w:val="28"/>
          <w:szCs w:val="28"/>
        </w:rPr>
        <w:t xml:space="preserve"> «Использование  и  охрана  земель  на</w:t>
      </w:r>
    </w:p>
    <w:p>
      <w:pPr>
        <w:pStyle w:val="Standard"/>
        <w:spacing w:lineRule="atLeast" w:line="297" w:before="0" w:after="143"/>
        <w:rPr/>
      </w:pPr>
      <w:r>
        <w:rPr>
          <w:rFonts w:cs="Times New Roman"/>
          <w:bCs/>
          <w:sz w:val="28"/>
          <w:szCs w:val="28"/>
        </w:rPr>
        <w:t xml:space="preserve">территории </w:t>
      </w:r>
      <w:r>
        <w:rPr>
          <w:sz w:val="28"/>
          <w:szCs w:val="28"/>
        </w:rPr>
        <w:t>Бартеневского</w:t>
      </w:r>
      <w:r>
        <w:rPr>
          <w:rFonts w:cs="Times New Roman"/>
          <w:bCs/>
          <w:sz w:val="28"/>
          <w:szCs w:val="28"/>
        </w:rPr>
        <w:t xml:space="preserve"> муниципального образования  Ивантеевского</w:t>
      </w:r>
    </w:p>
    <w:p>
      <w:pPr>
        <w:pStyle w:val="Standard"/>
        <w:spacing w:lineRule="atLeast" w:line="297" w:before="0" w:after="143"/>
        <w:rPr/>
      </w:pPr>
      <w:r>
        <w:rPr>
          <w:rFonts w:cs="Times New Roman"/>
          <w:bCs/>
          <w:sz w:val="28"/>
          <w:szCs w:val="28"/>
        </w:rPr>
        <w:t>муниципального района Саратовской области на 2021 -2023 годы».</w:t>
      </w:r>
    </w:p>
    <w:tbl>
      <w:tblPr>
        <w:tblW w:w="969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val="0000"/>
      </w:tblPr>
      <w:tblGrid>
        <w:gridCol w:w="2551"/>
        <w:gridCol w:w="7138"/>
      </w:tblGrid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 xml:space="preserve">«Использование  и  охрана  земель  на территории </w:t>
            </w:r>
            <w:r>
              <w:rPr>
                <w:rFonts w:cs="Times New Roman" w:ascii="Times New Roman" w:hAnsi="Times New Roman"/>
              </w:rPr>
              <w:t>Бартеневского</w:t>
            </w:r>
            <w:r>
              <w:rPr>
                <w:rFonts w:cs="Times New Roman" w:ascii="Times New Roman" w:hAnsi="Times New Roman"/>
                <w:szCs w:val="24"/>
              </w:rPr>
              <w:t xml:space="preserve"> муниципального образования  Ивантеевского муниципального района Саратовской области на 2021 -2023 годы».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both"/>
              <w:rPr/>
            </w:pPr>
            <w:r>
              <w:rPr/>
              <w:t>Земельный кодекс Российской Федерации, 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Заказчик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center"/>
              <w:rPr/>
            </w:pPr>
            <w:r>
              <w:rPr/>
              <w:t>Основной разработчик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center"/>
              <w:rPr/>
            </w:pPr>
            <w:r>
              <w:rPr/>
              <w:t>Цель муниципальной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jc w:val="both"/>
              <w:rPr/>
            </w:pPr>
            <w:r>
              <w:rPr/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Задачи муниципальной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Сроки реализации муниципальной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  <w:t>2021-2023</w:t>
            </w:r>
          </w:p>
        </w:tc>
      </w:tr>
      <w:tr>
        <w:trPr>
          <w:trHeight w:val="497" w:hRule="atLeast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>
                <w:rFonts w:eastAsia="Lucida Sans Unicode"/>
                <w:szCs w:val="21"/>
                <w:lang w:bidi="hi-IN"/>
              </w:rPr>
              <w:t>Объемы и источники финансирования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6 тыс. руб., а именно: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2021 год -2 тыс. руб. средства местного бюджета;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2022 год -2 тыс. руб. средства местного бюджета;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</w:rPr>
              <w:t>2023 год -2 тыс. руб. средства местного бюджета.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Ожидаемый результат реализации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Бартеневского муниципального образования Ивантеевского муниципального района Саратовской области и качества его жизни; увеличение налогооблагаемой базы.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center"/>
              <w:rPr/>
            </w:pPr>
            <w:r>
              <w:rPr/>
              <w:t>Контроль за использованием программы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1"/>
              <w:snapToGrid w:val="false"/>
              <w:jc w:val="both"/>
              <w:rPr/>
            </w:pPr>
            <w:r>
              <w:rPr/>
              <w:t>Контроль за использованием программы осуществляет 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</w:tbl>
    <w:p>
      <w:pPr>
        <w:pStyle w:val="Standard"/>
        <w:spacing w:lineRule="atLeast" w:line="297"/>
        <w:jc w:val="center"/>
        <w:rPr/>
      </w:pPr>
      <w:r>
        <w:rPr/>
      </w:r>
    </w:p>
    <w:p>
      <w:pPr>
        <w:pStyle w:val="Standard"/>
        <w:numPr>
          <w:ilvl w:val="0"/>
          <w:numId w:val="3"/>
        </w:numPr>
        <w:jc w:val="center"/>
        <w:rPr/>
      </w:pPr>
      <w:r>
        <w:rPr>
          <w:b/>
          <w:bCs/>
        </w:rPr>
        <w:t>Содержание программы и обоснование необходимости её решения программными методами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firstLine="567"/>
        <w:jc w:val="both"/>
        <w:rPr/>
      </w:pPr>
      <w:r>
        <w:rPr/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Standard"/>
        <w:ind w:firstLine="567"/>
        <w:jc w:val="both"/>
        <w:rPr/>
      </w:pPr>
      <w:r>
        <w:rPr/>
        <w:t xml:space="preserve">Программа </w:t>
      </w:r>
      <w:r>
        <w:rPr>
          <w:rFonts w:cs="Times New Roman"/>
        </w:rPr>
        <w:t xml:space="preserve">«Использование  и  охрана  земель  на территории </w:t>
      </w:r>
      <w:r>
        <w:rPr/>
        <w:t>Бартеневского</w:t>
      </w:r>
      <w:r>
        <w:rPr>
          <w:rFonts w:cs="Times New Roman"/>
        </w:rPr>
        <w:t xml:space="preserve"> муниципального образования  Ивантеевского муниципального района Саратовской области на 2021 -2023 годы».</w:t>
      </w:r>
      <w:r>
        <w:rPr/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Standard"/>
        <w:ind w:firstLine="567"/>
        <w:jc w:val="both"/>
        <w:rPr/>
      </w:pPr>
      <w:r>
        <w:rPr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>
      <w:pPr>
        <w:pStyle w:val="Standard"/>
        <w:ind w:firstLine="567"/>
        <w:jc w:val="both"/>
        <w:rPr/>
      </w:pPr>
      <w:r>
        <w:rPr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>
      <w:pPr>
        <w:pStyle w:val="Standard"/>
        <w:ind w:firstLine="567"/>
        <w:jc w:val="both"/>
        <w:rPr/>
      </w:pPr>
      <w:r>
        <w:rPr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>
      <w:pPr>
        <w:pStyle w:val="Standard"/>
        <w:ind w:firstLine="567"/>
        <w:jc w:val="both"/>
        <w:rPr/>
      </w:pPr>
      <w:r>
        <w:rPr/>
        <w:t>Охрана земли только тогда может быть эффективной, когда обеспечивается рациональное землепользование.</w:t>
      </w:r>
    </w:p>
    <w:p>
      <w:pPr>
        <w:pStyle w:val="Standard"/>
        <w:ind w:firstLine="567"/>
        <w:jc w:val="both"/>
        <w:rPr/>
      </w:pPr>
      <w:r>
        <w:rPr/>
        <w:t>Проблемы устойчивого социально-экономического развития Бартеневского муниципального образования Ивантеевского муниципального  района Саратовской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>
      <w:pPr>
        <w:pStyle w:val="Standard"/>
        <w:ind w:firstLine="567"/>
        <w:jc w:val="both"/>
        <w:rPr/>
      </w:pPr>
      <w:r>
        <w:rPr/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Standard"/>
        <w:ind w:firstLine="567"/>
        <w:jc w:val="both"/>
        <w:rPr/>
      </w:pPr>
      <w:r>
        <w:rPr/>
        <w:t xml:space="preserve">На территории </w:t>
      </w:r>
      <w:r>
        <w:rPr/>
        <w:t>Бартеневского</w:t>
      </w:r>
      <w:r>
        <w:rPr/>
        <w:t xml:space="preserve"> муниципального образования  Ивантеевского муниципального района Саратовской области имеются земельные участки для различного разрешенного использования.</w:t>
      </w:r>
    </w:p>
    <w:p>
      <w:pPr>
        <w:pStyle w:val="Standard"/>
        <w:ind w:firstLine="567"/>
        <w:jc w:val="both"/>
        <w:rPr/>
      </w:pPr>
      <w:r>
        <w:rPr/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pStyle w:val="Standard"/>
        <w:ind w:firstLine="567"/>
        <w:jc w:val="both"/>
        <w:rPr/>
      </w:pPr>
      <w:r>
        <w:rPr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>
      <w:pPr>
        <w:pStyle w:val="Standard"/>
        <w:ind w:firstLine="567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jc w:val="center"/>
        <w:rPr/>
      </w:pPr>
      <w:r>
        <w:rPr>
          <w:b/>
          <w:bCs/>
        </w:rPr>
        <w:t>Основные цели и задачи Программы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firstLine="567"/>
        <w:jc w:val="both"/>
        <w:rPr/>
      </w:pPr>
      <w:r>
        <w:rPr>
          <w:bCs/>
        </w:rPr>
        <w:t>Цель Программы: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сохранения качества земель (почв) и улучшение экологической обстановки;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>
      <w:pPr>
        <w:pStyle w:val="Standard"/>
        <w:ind w:left="567" w:hanging="0"/>
        <w:jc w:val="both"/>
        <w:rPr/>
      </w:pPr>
      <w:r>
        <w:rPr>
          <w:bCs/>
        </w:rPr>
        <w:t>Задачи программы: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повышение эффективности использования и охраны земель;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оптимизация деятельности в сфере обращения с отходами производства и потребления;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обеспечение организации рационального использования и охраны земель;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/>
        <w:t>проведение инвентаризации земель.</w:t>
      </w:r>
    </w:p>
    <w:p>
      <w:pPr>
        <w:pStyle w:val="Standard"/>
        <w:ind w:firstLine="567"/>
        <w:jc w:val="both"/>
        <w:rPr/>
      </w:pPr>
      <w:r>
        <w:rPr/>
      </w:r>
    </w:p>
    <w:p>
      <w:pPr>
        <w:pStyle w:val="Standard"/>
        <w:jc w:val="center"/>
        <w:rPr/>
      </w:pPr>
      <w:r>
        <w:rPr>
          <w:b/>
          <w:bCs/>
        </w:rPr>
        <w:t>3. Ресурсное обеспечение Программы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firstLine="567"/>
        <w:jc w:val="both"/>
        <w:rPr/>
      </w:pPr>
      <w:r>
        <w:rPr/>
        <w:t>Финансирование мероприятий Программы не предусмотрено.</w:t>
      </w:r>
    </w:p>
    <w:p>
      <w:pPr>
        <w:pStyle w:val="Standard"/>
        <w:ind w:firstLine="567"/>
        <w:jc w:val="center"/>
        <w:rPr>
          <w:bCs/>
        </w:rPr>
      </w:pPr>
      <w:r>
        <w:rPr>
          <w:bCs/>
        </w:rPr>
      </w:r>
    </w:p>
    <w:p>
      <w:pPr>
        <w:pStyle w:val="Standard"/>
        <w:jc w:val="center"/>
        <w:rPr/>
      </w:pPr>
      <w:r>
        <w:rPr>
          <w:b/>
          <w:bCs/>
        </w:rPr>
        <w:t>4. Механизм реализации Программы.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firstLine="567"/>
        <w:jc w:val="both"/>
        <w:rPr/>
      </w:pPr>
      <w:r>
        <w:rPr/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/>
        <w:t>Бартеневского</w:t>
      </w:r>
      <w:r>
        <w:rPr/>
        <w:t xml:space="preserve"> муниципального образования</w:t>
      </w:r>
    </w:p>
    <w:p>
      <w:pPr>
        <w:pStyle w:val="Standard"/>
        <w:ind w:firstLine="567"/>
        <w:jc w:val="both"/>
        <w:rPr/>
      </w:pPr>
      <w:r>
        <w:rPr/>
        <w:t>Исполнители программы осуществляют:</w:t>
      </w:r>
    </w:p>
    <w:p>
      <w:pPr>
        <w:pStyle w:val="Standard"/>
        <w:numPr>
          <w:ilvl w:val="0"/>
          <w:numId w:val="1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нормативно-правое и методическое обеспечение реализации Программы;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подготовку предложений по объемам и условиям предоставления средств бюджета для реализации Программы;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организацию информационной и разъяснительной работы, направленной на освещение целей и задач Программы;</w:t>
      </w:r>
    </w:p>
    <w:p>
      <w:pPr>
        <w:pStyle w:val="Standard"/>
        <w:numPr>
          <w:ilvl w:val="0"/>
          <w:numId w:val="4"/>
        </w:numPr>
        <w:ind w:firstLine="567"/>
        <w:jc w:val="both"/>
        <w:rPr/>
      </w:pPr>
      <w:r>
        <w:rPr>
          <w:rFonts w:eastAsia="Times New Roman" w:cs="Times New Roman"/>
        </w:rPr>
        <w:t xml:space="preserve"> </w:t>
      </w:r>
      <w:r>
        <w:rPr/>
        <w:t>с целью охраны земель проводят инвентаризацию земель поселения.</w:t>
      </w:r>
    </w:p>
    <w:p>
      <w:pPr>
        <w:pStyle w:val="Standard"/>
        <w:ind w:firstLine="567"/>
        <w:jc w:val="both"/>
        <w:rPr/>
      </w:pPr>
      <w:r>
        <w:rPr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Standard"/>
        <w:ind w:firstLine="56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/>
      </w:pPr>
      <w:r>
        <w:rPr>
          <w:b/>
          <w:bCs/>
        </w:rPr>
        <w:t>5. Ожидаемые результаты Программы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firstLine="567"/>
        <w:jc w:val="both"/>
        <w:rPr/>
      </w:pPr>
      <w:r>
        <w:rPr/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>
      <w:pPr>
        <w:pStyle w:val="Standard"/>
        <w:ind w:firstLine="567"/>
        <w:jc w:val="both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</w:rPr>
        <w:t>6. Методика комплексной оценки эффективности реализации муниципальной программы</w:t>
      </w:r>
    </w:p>
    <w:p>
      <w:pPr>
        <w:pStyle w:val="NormalWeb"/>
        <w:spacing w:before="0" w:after="0"/>
        <w:ind w:firstLine="709"/>
        <w:jc w:val="both"/>
        <w:rPr/>
      </w:pPr>
      <w:r>
        <w:rPr/>
        <w:t>Комплексная оценка эффективности реализации 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 программы.</w:t>
      </w:r>
    </w:p>
    <w:p>
      <w:pPr>
        <w:pStyle w:val="NormalWeb"/>
        <w:spacing w:before="0" w:after="0"/>
        <w:ind w:firstLine="709"/>
        <w:jc w:val="both"/>
        <w:rPr/>
      </w:pPr>
      <w:r>
        <w:rPr/>
        <w:t>1.Оценка степени выполнения мероприятий муниципальной программы.</w:t>
      </w:r>
    </w:p>
    <w:p>
      <w:pPr>
        <w:pStyle w:val="NormalWeb"/>
        <w:spacing w:before="0" w:after="0"/>
        <w:ind w:firstLine="709"/>
        <w:jc w:val="both"/>
        <w:rPr/>
      </w:pPr>
      <w:r>
        <w:rPr/>
        <w:t>Степень выполнения мероприятий 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>
      <w:pPr>
        <w:pStyle w:val="NormalWeb"/>
        <w:spacing w:before="0" w:after="0"/>
        <w:ind w:firstLine="709"/>
        <w:jc w:val="both"/>
        <w:rPr/>
      </w:pPr>
      <w:r>
        <w:rPr/>
        <w:t>Степень выполнения мероприятий 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>
      <w:pPr>
        <w:pStyle w:val="NormalWeb"/>
        <w:spacing w:before="0" w:after="0"/>
        <w:ind w:left="720" w:hanging="0"/>
        <w:jc w:val="both"/>
        <w:rPr/>
      </w:pPr>
      <w:r>
        <w:rPr/>
        <w:t>2.Оценка эффективности реализации муниципальной программы</w:t>
      </w:r>
    </w:p>
    <w:p>
      <w:pPr>
        <w:pStyle w:val="NormalWeb"/>
        <w:spacing w:before="0" w:after="0"/>
        <w:ind w:firstLine="709"/>
        <w:jc w:val="both"/>
        <w:rPr/>
      </w:pPr>
      <w:r>
        <w:rPr/>
        <w:t>Эффективность реализации 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>
      <w:pPr>
        <w:pStyle w:val="NormalWeb"/>
        <w:spacing w:before="0" w:after="0"/>
        <w:ind w:firstLine="709"/>
        <w:jc w:val="both"/>
        <w:rPr/>
      </w:pPr>
      <w:r>
        <w:rPr/>
        <w:t>Показатель эффективности реализации муниципальной программы (R) за отчетный год рассчитывается по формуле,</w:t>
      </w:r>
    </w:p>
    <w:p>
      <w:pPr>
        <w:pStyle w:val="NormalWeb"/>
        <w:spacing w:before="0" w:after="0"/>
        <w:jc w:val="both"/>
        <w:rPr/>
      </w:pPr>
      <w:r>
        <w:rPr/>
        <w:t>где N – количество показателей (индикаторов) муниципальной программы, входящих в состав муниципальной программы);</w:t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– </w:t>
      </w:r>
      <w:r>
        <w:rPr/>
        <w:t>плановое значение n-го показателя (индикатора);</w:t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– </w:t>
      </w:r>
      <w:r>
        <w:rPr/>
        <w:t>значение n-го показателя (индикатора) на конец отчетного года;</w:t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– </w:t>
      </w:r>
      <w:r>
        <w:rPr/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– </w:t>
      </w:r>
      <w:r>
        <w:rPr/>
        <w:t>сумма фактически произведенных расходов на реализацию мероприятий муниципальной программы на конец отчетного года.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Web"/>
        <w:spacing w:before="0" w:after="0"/>
        <w:ind w:firstLine="709"/>
        <w:jc w:val="both"/>
        <w:rPr/>
      </w:pPr>
      <w:r>
        <w:rPr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 xml:space="preserve">Перечень </w:t>
      </w:r>
      <w:r>
        <w:rPr>
          <w:rStyle w:val="Style15"/>
          <w:sz w:val="28"/>
          <w:szCs w:val="28"/>
        </w:rPr>
        <w:t>мероприятий по реализации муниципальной программы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63" w:type="dxa"/>
        <w:jc w:val="left"/>
        <w:tblInd w:w="-1101" w:type="dxa"/>
        <w:tblBorders>
          <w:top w:val="single" w:sz="2" w:space="0" w:color="000001"/>
          <w:left w:val="single" w:sz="2" w:space="0" w:color="000001"/>
        </w:tblBorders>
        <w:tblCellMar>
          <w:top w:w="0" w:type="dxa"/>
          <w:left w:w="4" w:type="dxa"/>
          <w:bottom w:w="0" w:type="dxa"/>
          <w:right w:w="10" w:type="dxa"/>
        </w:tblCellMar>
        <w:tblLook w:val="0000"/>
      </w:tblPr>
      <w:tblGrid>
        <w:gridCol w:w="625"/>
        <w:gridCol w:w="4424"/>
        <w:gridCol w:w="2438"/>
        <w:gridCol w:w="1237"/>
        <w:gridCol w:w="1314"/>
        <w:gridCol w:w="1250"/>
        <w:gridCol w:w="1186"/>
        <w:gridCol w:w="2"/>
        <w:gridCol w:w="2885"/>
      </w:tblGrid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ind w:firstLine="43"/>
              <w:rPr/>
            </w:pPr>
            <w:r>
              <w:rPr>
                <w:rStyle w:val="FontStyle11"/>
                <w:sz w:val="24"/>
                <w:szCs w:val="24"/>
              </w:rPr>
              <w:t xml:space="preserve">№ </w:t>
            </w:r>
            <w:r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ind w:left="98" w:hanging="0"/>
              <w:rPr/>
            </w:pPr>
            <w:r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ind w:left="590" w:hanging="0"/>
              <w:rPr/>
            </w:pPr>
            <w:r>
              <w:rPr>
                <w:bCs/>
              </w:rPr>
              <w:t>Объем финансирования (тыс. руб.),</w:t>
            </w:r>
          </w:p>
        </w:tc>
        <w:tc>
          <w:tcPr>
            <w:tcW w:w="288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>
        <w:trPr>
          <w:trHeight w:val="634" w:hRule="atLeast"/>
        </w:trPr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всего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2021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год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2022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год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2023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hi-IN"/>
              </w:rPr>
              <w:t>год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2"/>
              <w:snapToGrid w:val="false"/>
              <w:rPr>
                <w:sz w:val="24"/>
                <w:szCs w:val="24"/>
                <w:lang w:eastAsia="hi-IN"/>
              </w:rPr>
            </w:pPr>
            <w:r>
              <w:rPr>
                <w:sz w:val="24"/>
                <w:szCs w:val="24"/>
                <w:lang w:eastAsia="hi-IN"/>
              </w:rPr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rPr/>
            </w:pPr>
            <w:r>
              <w:rPr/>
              <w:t>Разъяснение гражданам земельного законодательства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2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rPr/>
            </w:pPr>
            <w:r>
              <w:rPr/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jc w:val="left"/>
              <w:rPr/>
            </w:pPr>
            <w:r>
              <w:rPr/>
              <w:t>Не требует затрат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rPr/>
            </w:pPr>
            <w:r>
              <w:rPr/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jc w:val="left"/>
              <w:rPr/>
            </w:pPr>
            <w:r>
              <w:rPr/>
              <w:t>Не требует затрат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rPr/>
            </w:pPr>
            <w:r>
              <w:rPr/>
              <w:t>Выявление фактов самовольного занятия земельных участков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jc w:val="left"/>
              <w:rPr/>
            </w:pPr>
            <w:r>
              <w:rPr/>
              <w:t>Не требует затрат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rPr/>
            </w:pPr>
            <w:r>
              <w:rPr/>
              <w:t>Инвентаризация земель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jc w:val="left"/>
              <w:rPr/>
            </w:pPr>
            <w:r>
              <w:rPr/>
              <w:t>Не требует затрат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rPr/>
            </w:pPr>
            <w:r>
              <w:rPr/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andard"/>
              <w:jc w:val="left"/>
              <w:rPr/>
            </w:pPr>
            <w:r>
              <w:rPr/>
              <w:t>Не требует затрат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  <w:tr>
        <w:trPr/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ind w:left="10" w:hanging="10"/>
              <w:jc w:val="left"/>
              <w:rPr/>
            </w:pPr>
            <w:r>
              <w:rPr>
                <w:sz w:val="24"/>
                <w:szCs w:val="24"/>
              </w:rPr>
              <w:t xml:space="preserve">Посадка кустарников и деревьев 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jc w:val="left"/>
              <w:rPr/>
            </w:pPr>
            <w:r>
              <w:rPr>
                <w:rStyle w:val="FontStyle11"/>
                <w:b w:val="false"/>
                <w:bCs w:val="false"/>
                <w:sz w:val="24"/>
                <w:szCs w:val="24"/>
              </w:rPr>
              <w:t>Бюджет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8" w:type="dxa"/>
            <w:gridSpan w:val="2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110"/>
              <w:snapToGrid w:val="false"/>
              <w:spacing w:lineRule="auto" w:line="240"/>
              <w:rPr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" w:type="dxa"/>
            </w:tcMar>
          </w:tcPr>
          <w:p>
            <w:pPr>
              <w:pStyle w:val="Style21"/>
              <w:jc w:val="both"/>
              <w:rPr/>
            </w:pPr>
            <w:r>
              <w:rPr/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"/>
      <w:lvlJc w:val="left"/>
      <w:pPr>
        <w:tabs>
          <w:tab w:val="num" w:pos="706"/>
        </w:tabs>
        <w:ind w:left="0" w:hanging="0"/>
      </w:pPr>
      <w:rPr>
        <w:rFonts w:ascii="Symbol" w:hAnsi="Symbol" w:cs="Symbol" w:hint="default"/>
        <w:b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8"/>
        <w:b w:val="false"/>
        <w:szCs w:val="26"/>
        <w:rFonts w:eastAsia="Times New Roman" w:cs="Times New Roman"/>
        <w:lang w:eastAsia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06"/>
        </w:tabs>
        <w:ind w:left="0" w:hanging="0"/>
      </w:pPr>
      <w:rPr>
        <w:rFonts w:ascii="Symbol" w:hAnsi="Symbol" w:cs="Symbol" w:hint="default"/>
        <w:b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7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qFormat/>
    <w:locked/>
    <w:rsid w:val="009827a7"/>
    <w:rPr>
      <w:color w:val="00000A"/>
    </w:rPr>
  </w:style>
  <w:style w:type="character" w:styleId="Style15" w:customStyle="1">
    <w:name w:val="Выделение жирным"/>
    <w:qFormat/>
    <w:rsid w:val="009827a7"/>
    <w:rPr>
      <w:rFonts w:cs="Times New Roman"/>
      <w:b/>
      <w:bCs/>
    </w:rPr>
  </w:style>
  <w:style w:type="character" w:styleId="FontStyle11" w:customStyle="1">
    <w:name w:val="Font Style11"/>
    <w:qFormat/>
    <w:rsid w:val="009827a7"/>
    <w:rPr>
      <w:rFonts w:ascii="Times New Roman" w:hAnsi="Times New Roman" w:eastAsia="Times New Roman" w:cs="Times New Roman"/>
      <w:b/>
      <w:bCs/>
      <w:color w:val="000000"/>
      <w:sz w:val="30"/>
      <w:szCs w:val="30"/>
      <w:lang w:val="ru-RU"/>
    </w:rPr>
  </w:style>
  <w:style w:type="character" w:styleId="ListLabel1">
    <w:name w:val="ListLabel 1"/>
    <w:qFormat/>
    <w:rPr>
      <w:rFonts w:cs="Symbol"/>
      <w:b/>
    </w:rPr>
  </w:style>
  <w:style w:type="character" w:styleId="ListLabel2">
    <w:name w:val="ListLabel 2"/>
    <w:qFormat/>
    <w:rPr>
      <w:rFonts w:eastAsia="Times New Roman" w:cs="Times New Roman"/>
      <w:b w:val="false"/>
      <w:sz w:val="28"/>
      <w:szCs w:val="26"/>
      <w:lang w:eastAsia="ru-RU"/>
    </w:rPr>
  </w:style>
  <w:style w:type="character" w:styleId="ListLabel3">
    <w:name w:val="ListLabel 3"/>
    <w:qFormat/>
    <w:rPr>
      <w:rFonts w:cs="Symbol"/>
      <w:b/>
    </w:rPr>
  </w:style>
  <w:style w:type="character" w:styleId="ListLabel4">
    <w:name w:val="ListLabel 4"/>
    <w:qFormat/>
    <w:rPr>
      <w:rFonts w:cs="Symbol"/>
      <w:b/>
    </w:rPr>
  </w:style>
  <w:style w:type="character" w:styleId="ListLabel5">
    <w:name w:val="ListLabel 5"/>
    <w:qFormat/>
    <w:rPr>
      <w:rFonts w:eastAsia="Times New Roman" w:cs="Times New Roman"/>
      <w:b w:val="false"/>
      <w:sz w:val="28"/>
      <w:szCs w:val="26"/>
      <w:lang w:eastAsia="ru-RU"/>
    </w:rPr>
  </w:style>
  <w:style w:type="character" w:styleId="ListLabel6">
    <w:name w:val="ListLabel 6"/>
    <w:qFormat/>
    <w:rPr>
      <w:rFonts w:cs="Symbol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qFormat/>
    <w:rsid w:val="009827a7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9827a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9827a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andard" w:customStyle="1">
    <w:name w:val="Standard"/>
    <w:qFormat/>
    <w:rsid w:val="009827a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ru-RU" w:eastAsia="zh-CN" w:bidi="ar-SA"/>
    </w:rPr>
  </w:style>
  <w:style w:type="paragraph" w:styleId="Style21" w:customStyle="1">
    <w:name w:val="Содержимое таблицы"/>
    <w:basedOn w:val="Standard"/>
    <w:qFormat/>
    <w:rsid w:val="009827a7"/>
    <w:pPr>
      <w:suppressLineNumbers/>
    </w:pPr>
    <w:rPr>
      <w:rFonts w:eastAsia="Times New Roman" w:cs="Times New Roman"/>
    </w:rPr>
  </w:style>
  <w:style w:type="paragraph" w:styleId="NormalWeb">
    <w:name w:val="Normal (Web)"/>
    <w:basedOn w:val="Standard"/>
    <w:qFormat/>
    <w:rsid w:val="009827a7"/>
    <w:pPr>
      <w:spacing w:before="280" w:after="280"/>
    </w:pPr>
    <w:rPr>
      <w:rFonts w:eastAsia="Times New Roman" w:cs="Times New Roman"/>
    </w:rPr>
  </w:style>
  <w:style w:type="paragraph" w:styleId="Style110" w:customStyle="1">
    <w:name w:val="Style1"/>
    <w:basedOn w:val="Standard"/>
    <w:qFormat/>
    <w:rsid w:val="009827a7"/>
    <w:pPr>
      <w:spacing w:lineRule="exact" w:line="355"/>
      <w:jc w:val="center"/>
    </w:pPr>
    <w:rPr>
      <w:rFonts w:eastAsia="Times New Roman" w:cs="Times New Roman"/>
      <w:sz w:val="20"/>
      <w:szCs w:val="20"/>
      <w:lang w:bidi="hi-IN"/>
    </w:rPr>
  </w:style>
  <w:style w:type="paragraph" w:styleId="Style22" w:customStyle="1">
    <w:name w:val="Style2"/>
    <w:basedOn w:val="Standard"/>
    <w:qFormat/>
    <w:rsid w:val="009827a7"/>
    <w:pPr/>
    <w:rPr>
      <w:rFonts w:eastAsia="Times New Roman" w:cs="Times New Roman"/>
      <w:sz w:val="20"/>
      <w:szCs w:val="20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LibreOffice/5.4.3.2$Windows_X86_64 LibreOffice_project/92a7159f7e4af62137622921e809f8546db437e5</Application>
  <Pages>7</Pages>
  <Words>1441</Words>
  <Characters>11600</Characters>
  <CharactersWithSpaces>13019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2021-04-01T12:21:00Z</dcterms:created>
  <dc:creator>лидия</dc:creator>
  <dc:description/>
  <dc:language>ru-RU</dc:language>
  <cp:lastModifiedBy/>
  <cp:lastPrinted>2021-04-07T14:31:27Z</cp:lastPrinted>
  <dcterms:modified xsi:type="dcterms:W3CDTF">2021-04-07T14:32:01Z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